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4" w:rsidRPr="00314428" w:rsidRDefault="004626B5" w:rsidP="009C5D5C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KISA ÜRÜN BİLGİSİ</w:t>
      </w:r>
    </w:p>
    <w:p w:rsidR="00EA7DF4" w:rsidRPr="00314428" w:rsidRDefault="00EA7DF4" w:rsidP="009C5D5C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</w:p>
    <w:p w:rsidR="00B04733" w:rsidRPr="00314428" w:rsidRDefault="00B04733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1. BEŞERİ TIBBİ ÜRÜNÜN ADI</w:t>
      </w:r>
    </w:p>
    <w:p w:rsidR="00B6494C" w:rsidRPr="00314428" w:rsidRDefault="00242215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mg/5 ml, </w:t>
      </w:r>
      <w:r w:rsidR="00B8165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150 ml </w:t>
      </w:r>
      <w:r w:rsidR="003576FD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</w:t>
      </w:r>
      <w:r w:rsidR="00B8165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urup</w:t>
      </w:r>
    </w:p>
    <w:p w:rsidR="00B04733" w:rsidRPr="00314428" w:rsidRDefault="00B04733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B04733" w:rsidRPr="00314428" w:rsidRDefault="00B04733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2. KALİTATİF VE KANTİTATİF BİLEŞİM</w:t>
      </w:r>
    </w:p>
    <w:p w:rsidR="00914396" w:rsidRPr="00314428" w:rsidRDefault="00914396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Etkin madde: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</w:t>
      </w:r>
      <w:r w:rsidR="00FA749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Her 5 ml şurupta </w:t>
      </w:r>
      <w:proofErr w:type="gramStart"/>
      <w:r w:rsidR="00DF09A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 w:rsidR="00DF09A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mg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içermektedir.</w:t>
      </w:r>
    </w:p>
    <w:p w:rsidR="006537D7" w:rsidRPr="00314428" w:rsidRDefault="00914396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Yardımcı madde(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ler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): </w:t>
      </w:r>
      <w:r w:rsidR="00DF09A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5 ml şurupta;</w:t>
      </w:r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CE273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0.23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gün batımı sarısı, </w:t>
      </w:r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1.77 g </w:t>
      </w:r>
      <w:proofErr w:type="spellStart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orbitol</w:t>
      </w:r>
      <w:proofErr w:type="spellEnd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25 mg s</w:t>
      </w:r>
      <w:r w:rsidR="006537D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odyum </w:t>
      </w:r>
      <w:proofErr w:type="spellStart"/>
      <w:r w:rsidR="006537D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sitrat</w:t>
      </w:r>
      <w:proofErr w:type="spellEnd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5 mg s</w:t>
      </w:r>
      <w:r w:rsidR="006537D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odyum </w:t>
      </w:r>
      <w:proofErr w:type="spellStart"/>
      <w:r w:rsidR="006537D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benzoat</w:t>
      </w:r>
      <w:proofErr w:type="spellEnd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5 mg </w:t>
      </w:r>
      <w:proofErr w:type="spellStart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</w:t>
      </w:r>
      <w:r w:rsidR="00FA749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isodyum</w:t>
      </w:r>
      <w:proofErr w:type="spellEnd"/>
      <w:r w:rsidR="00FA7497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EDTA</w:t>
      </w:r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14396" w:rsidRPr="00314428" w:rsidRDefault="00FA7497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Diğer y</w:t>
      </w:r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ardımcı maddeler için, </w:t>
      </w:r>
      <w:proofErr w:type="gramStart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6.1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914396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</w:t>
      </w:r>
      <w:proofErr w:type="gramEnd"/>
      <w:r w:rsidR="00914396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bakınız.</w:t>
      </w:r>
    </w:p>
    <w:p w:rsidR="00914396" w:rsidRPr="00314428" w:rsidRDefault="00914396" w:rsidP="009C5D5C">
      <w:pPr>
        <w:spacing w:line="360" w:lineRule="auto"/>
        <w:jc w:val="both"/>
      </w:pPr>
    </w:p>
    <w:p w:rsidR="00B04733" w:rsidRPr="00314428" w:rsidRDefault="00B04733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3. FARMASÖTİK FORM</w:t>
      </w:r>
    </w:p>
    <w:p w:rsidR="00B6494C" w:rsidRPr="00314428" w:rsidRDefault="00B6494C" w:rsidP="009C5D5C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Şurup</w:t>
      </w:r>
    </w:p>
    <w:p w:rsidR="00B6494C" w:rsidRPr="00314428" w:rsidRDefault="00B6494C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Sarı-turuncu renkte, karakteristik kokulu (çilek) berrak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solusyon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0157CA" w:rsidRPr="00314428" w:rsidRDefault="000157CA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4. KLİNİK ÖZELLİKLER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4.1.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  <w:proofErr w:type="spellEnd"/>
    </w:p>
    <w:p w:rsidR="009C5D5C" w:rsidRPr="00314428" w:rsidRDefault="00242215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alerjik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ilişkili, hapşırık, burunda ak</w:t>
      </w:r>
      <w:r w:rsidR="000C7C46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ın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tı ve kaşınma,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konjesyon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/burun tıkanıklığı, aynı zamanda gözlerde kaşınma, yaşarma ve kızarıklık, damakta kaşınma ve öksürük gibi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giderilmesinde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endikedir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242215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ayrıca, ürtiker ile birlikte görülen, kaşıntının giderilmesi, derideki kabartı ve kızarıklık gibi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ortadan kaldırılmasında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endikedir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4.2.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uygulama şekli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/uygulama sıklığı ve süresi: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Semptomları haftada 4 gün veya 4 haftadan daha az süren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="00C772C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ntermitan</w:t>
      </w:r>
      <w:proofErr w:type="spellEnd"/>
      <w:r w:rsidR="00C772C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="00C772C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="00C772C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hastanın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hastalık öyküsü değerlendirmesine göre tedavi edilmeli ve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giderilmesi ve tekrarlanması durumunda tedaviye ara verilmelidir. Semptomları haftada 4 gün veya daha fazla ve 4 haftadan fazla görülen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hastanın alerjinin ortaya çıkması durumunda sürekli tedavisi önerilmelidir.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Uygulama şekli:</w:t>
      </w:r>
    </w:p>
    <w:p w:rsidR="00C772C3" w:rsidRDefault="00C772C3" w:rsidP="00C772C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6 ay ila 11 aylık çocuklar: DOXAFİN,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içeren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ürtikerle birlikte gelişen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giderilmesinde günde bir kere 2 ml (1 mg) tek başına veya besinlerle.</w:t>
      </w:r>
    </w:p>
    <w:p w:rsidR="00C772C3" w:rsidRPr="00314428" w:rsidRDefault="00C772C3" w:rsidP="00C772C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Ölçülü kaşığı 2 </w:t>
      </w:r>
      <w:proofErr w:type="spellStart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ml’ye</w:t>
      </w:r>
      <w:proofErr w:type="spellEnd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kullanınız. </w:t>
      </w:r>
    </w:p>
    <w:p w:rsidR="00C772C3" w:rsidRPr="00314428" w:rsidRDefault="00C772C3" w:rsidP="00C772C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1 yaştan 5 yaşa kadar olan çocuklar: DOXAFİN,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içeren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ürtikerle birlikte gelişen semptomların giderilmesinde günde bir kere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ml (1.25 mg) tek başına veya besinlerle.</w:t>
      </w:r>
    </w:p>
    <w:p w:rsidR="00C772C3" w:rsidRDefault="00C772C3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Ölçülü kaşığı </w:t>
      </w:r>
      <w:proofErr w:type="gramStart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ml’ye</w:t>
      </w:r>
      <w:proofErr w:type="spellEnd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kullanınız. </w:t>
      </w:r>
    </w:p>
    <w:p w:rsidR="009C5D5C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6 </w:t>
      </w:r>
      <w:r w:rsidR="00C772C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ila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11 yaşa kadar olan çocuklar: </w:t>
      </w:r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içeren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ürtikerle birlikte gelişen semptomların giderilmesinde günde bir kere 5 m</w:t>
      </w:r>
      <w:r w:rsidR="00F5109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mg) tek başına veya besinlerle.</w:t>
      </w:r>
    </w:p>
    <w:p w:rsidR="00C772C3" w:rsidRPr="00314428" w:rsidRDefault="00C772C3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Ölçülü kaşığı 5 </w:t>
      </w:r>
      <w:proofErr w:type="spellStart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ml’ye</w:t>
      </w:r>
      <w:proofErr w:type="spellEnd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kullanınız. </w:t>
      </w:r>
    </w:p>
    <w:p w:rsidR="009C5D5C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Erişkinler ve 12 yaş ve üzerindeki çocuklar: </w:t>
      </w:r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içeren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ürtikerle birlikte gelişen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</w:t>
      </w:r>
      <w:r w:rsidR="0000735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erilmesinde günde bir kere 10 ml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(5 mg), tek başına veya besinlerle.</w:t>
      </w:r>
    </w:p>
    <w:p w:rsidR="00C772C3" w:rsidRDefault="00C772C3" w:rsidP="00C772C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Ölçülü kaşığı 5 </w:t>
      </w:r>
      <w:proofErr w:type="spellStart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ml’ye</w:t>
      </w:r>
      <w:proofErr w:type="spellEnd"/>
      <w:r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2 kez kullanınız. </w:t>
      </w:r>
    </w:p>
    <w:p w:rsidR="00C772C3" w:rsidRPr="00314428" w:rsidRDefault="00C772C3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ilişkin ek bilgiler: 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Böbrek yetmezliği: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Şiddetli böbrek yetmezliği olan hastalarda dikkatli kullanılmalıdır.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Karaciğer yetmezliği: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Karaciğer yetmezliği olan hastalarda kullanımına ilişkin veri yoktur.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popülasyonda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uygulama şekli yukarıda verilmektedir.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popülasyonda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etkinlik ve güvenliliği henüz belirlenmemiştir.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4.3.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Kontrendikasyonlar</w:t>
      </w:r>
      <w:proofErr w:type="spellEnd"/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Etkin madde, yardımcı maddelerden herhangi birine veya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loratadine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karşı aşırı duyarlılığı olan hastalarda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kontrendikedir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4.4. Özel kullanım uyarıları ve önlemleri</w:t>
      </w:r>
    </w:p>
    <w:p w:rsidR="009C5D5C" w:rsidRPr="00314428" w:rsidRDefault="00191CAA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6 aydan küçük çocuklarda etkinlik ve güvenliliği henüz belirlenmemiştir (bkz. bölüm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5.1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.)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2 yaşından küçük çocuklarda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tanısının, diğer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çeşitlerinden ayırt edilmesi oldukça zordur. Hastada üst solunum yolu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enfeksiyonu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yapısal anormallikler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bulunmaması durumunda, ayrıca hastanın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anamnez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fiziki muayene ve uygun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laboratuvar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deri testlerinin sonuçları da göz önünde bulundurulmalıdır.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Erişkinlerin ve 2-11 yaş arasındaki çocukların yaklaşık %6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sı,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fenotipik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zayıf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ederler ve yüksek düzeyde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maruziyet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gösterirler. </w:t>
      </w:r>
      <w:proofErr w:type="spellStart"/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zayıf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2-11 yaş arasındaki çocuklarda güvenliliği, ilacı normal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çocuklardaki ile aynıdır. </w:t>
      </w:r>
      <w:proofErr w:type="spellStart"/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iyi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edemeyen 2 yaşından küçük çocuklardaki etkileri incelenmemiştir.</w:t>
      </w:r>
    </w:p>
    <w:p w:rsidR="009C5D5C" w:rsidRPr="00314428" w:rsidRDefault="00242215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şiddetli böbrek yetmezliği olan hasta</w:t>
      </w:r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larda dikkatli kullanılmalıdır </w:t>
      </w:r>
      <w:proofErr w:type="gramStart"/>
      <w:r w:rsidR="0004157A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</w:t>
      </w:r>
      <w:proofErr w:type="spellStart"/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bkz.bölüm</w:t>
      </w:r>
      <w:proofErr w:type="spellEnd"/>
    </w:p>
    <w:p w:rsidR="009C5D5C" w:rsidRPr="00314428" w:rsidRDefault="0004157A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5.2.)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Sukroz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sorbitol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Bu tıbbi ürün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sukroz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sorbitol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içermektedir; bundan dolayı nadir kalıtımsal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fruktoz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intoleransı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glikoz-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malabsorpsiyonu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sükraz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-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izomaltaz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yetmezliği problemi olan hastaların bu ilacı kullanmamaları gerekir.</w:t>
      </w:r>
    </w:p>
    <w:p w:rsidR="009C5D5C" w:rsidRPr="00314428" w:rsidRDefault="00D24572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ün batımı sarısı: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 tıbbi ürün boyar madde olarak alerjik reaksiyonlara yol açabilen gün batımı</w:t>
      </w:r>
      <w:r w:rsidR="00D24572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sarısı içermektedir.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Sodyum: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Bu tıbbi ürün her dozunda 1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mmol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(23 mg)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az sodyum </w:t>
      </w:r>
      <w:r w:rsidR="00066C9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içerir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; </w:t>
      </w:r>
      <w:r w:rsidR="00066C9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 dozda sodyuma bağlı herhangi bir yan etki beklenmemektedir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4.5. Diğer tıbbi ürünler ile etkileşimler ve diğer etkileşim şekilleri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Ertiromisin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 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ketokonazolun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birlikte kullanıldığı,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desloratadinle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yapılmış klinik çalışmalarda klinik bir etkileşim gözlenmemiştir.</w:t>
      </w:r>
    </w:p>
    <w:p w:rsidR="009C5D5C" w:rsidRPr="00314428" w:rsidRDefault="00242215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0E630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alkolle bir arada alındığı klinik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farmakoloji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çalışmalarında,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alkolün performansı zayıflatıcı etkisini artırmamıştır (bkz. bölüm 5.1)</w:t>
      </w:r>
    </w:p>
    <w:p w:rsidR="009C5D5C" w:rsidRPr="00314428" w:rsidRDefault="00242215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oral yolla alman doğum kontrol ilaçları ile etkileşime geçmektedir. Bu nedenle, tedavi süresince alternatif, etkili ve güvenilir bir doğum kontrol yöntemi uygulanmalıdır.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4.6. Gebelik ve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Gebelik kategorisi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Çocuk doğurma potansiyeli bulunan kadınlar/Doğum kontrolü (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)</w:t>
      </w:r>
    </w:p>
    <w:p w:rsidR="009C5D5C" w:rsidRPr="00314428" w:rsidRDefault="00242215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C3512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oral yolla alın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 doğum kontrol ilaçları ile etkileşime geçmektedir. Bu nedenle, tedavi süresince alternatif, etkili ve güvenilir bir doğum kontrol yöntemi uygulanmalıdır.</w:t>
      </w:r>
    </w:p>
    <w:p w:rsidR="009C5D5C" w:rsidRPr="00C3512B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C3512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Gebelik dönemi</w:t>
      </w:r>
    </w:p>
    <w:p w:rsidR="00C3512B" w:rsidRDefault="00242215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un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gebe kadınlarda kullanımına ilişkin yeterli veri mevcut değildir. Hayvanlar üzerinde yapılan araştırmalarda üreme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toksisitesi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bulunmamaktadır. 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İnsanlara yönelik potansiyel risk bilinmemektedir (bkz. bölüm 53.). Bu nedenle hamilelik süresince kullanılması tavsiye edilmez.</w:t>
      </w:r>
    </w:p>
    <w:p w:rsidR="009C5D5C" w:rsidRPr="00314428" w:rsidRDefault="009C5D5C" w:rsidP="00066C95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sütünde </w:t>
      </w:r>
      <w:proofErr w:type="spellStart"/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0E630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dozları emziren kadınlara uygulandığı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taktirde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memedeki çocuk üzerinde etkiye neden olabilecek ölçüde atılmaktadır. </w:t>
      </w:r>
      <w:r w:rsidR="00242215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emzirme döneminde kullanılmamalıdır.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yeteneği/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</w:p>
    <w:p w:rsidR="00C3512B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Hayvanlar üzerinde yapılan araştırmalarda üreme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toksisitesi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bulunmamaktadır. 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İnsanlara yönelik potansiyel risk bilinmemektedir.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4.7. Araç ve makine kullanımı üzerindeki etkiler</w:t>
      </w:r>
    </w:p>
    <w:p w:rsidR="009C5D5C" w:rsidRPr="00314428" w:rsidRDefault="00242215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DOXAFİN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0E630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araç ve makine kullanma becerisi üzerine etkisi gözlenmemiştir. Ancak çok seyrek de olsa, bazı hastalarda uyku hali oluşabileceği ve bu durumun onların araç ve makine kullanımını etkileyebileceği belirtilmelidir.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4.8. İstenmeyen etkiler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popülasyondaki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klinik çalışmalarda, </w:t>
      </w:r>
      <w:proofErr w:type="spellStart"/>
      <w:r w:rsidR="00C3512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desloratidin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6 ay ila 11 yaş arasındaki 246 çocuğa verilmiştir. 2 ila 11 yaş arasındaki çocuklarda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olay sıklığı, </w:t>
      </w:r>
      <w:proofErr w:type="spellStart"/>
      <w:r w:rsidR="00C3512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desloratidin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kullanan gruplarda benzer bulunmuştur. 6 ila 23 aylık bebeklerde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plaseboya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kıyasla daha fazla görülen en yaygın bildirilen yan etkiler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diyare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(%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3.7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), ateş (%2.3) ve uykusuzluktur (%2.3).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kronik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idiyopatik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ürtikerin de içinde bulunduğu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endikasyonları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kapsayan erişkin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adolesanlardaki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klinik çalışmalarda, önerilen dozlarda, </w:t>
      </w:r>
      <w:proofErr w:type="spellStart"/>
      <w:r w:rsidR="00C3512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desloratidin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kullanan hastaların %3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ünde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plasebodan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fazla yan etki görülmüştür.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Plasebodan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fazla görülen ve en yaygın bildirilen yan etkiler, bitkinlik (%1.2), ağız kuruluğu (%0.8) ve baş ağrısı (%0.6)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dır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İstenmeyen olaylar aşağıda sistem organ sınıfına göre listelenmiştir. Sıklıklar şu şekilde tanımlanmıştır:</w:t>
      </w:r>
    </w:p>
    <w:p w:rsidR="00C3512B" w:rsidRDefault="00C3512B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3512B" w:rsidRDefault="00C3512B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3512B" w:rsidRDefault="00C3512B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Farklı organ sistemlerinde;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yaygın (</w:t>
      </w:r>
      <w:r w:rsidR="008842E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≥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1/10), yaygın (</w:t>
      </w:r>
      <w:r w:rsidR="008842E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≥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1/100 ila &lt; 1/10), yaygın olmayan (</w:t>
      </w:r>
      <w:r w:rsidR="008842E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≥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1/1,000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 &lt;1/100),</w:t>
      </w:r>
      <w:r w:rsidR="008842E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 (</w:t>
      </w:r>
      <w:r w:rsidR="008842E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≥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1/10.000 ila &lt;1/1.000), çok seyrek (&lt;1/10.000), bilinmiyor (eldeki verilerden hareketle tahmin edilemiyor).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Sinir sistemi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Yaygın: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Bitkinlik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Yaygın olmayan: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Baş ağrısı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Yaygın olmayan: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Ağız kuruluğu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 xml:space="preserve">Pazarlama sonrası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deneyim :</w:t>
      </w:r>
      <w:proofErr w:type="gramEnd"/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Pazarlama sonrası deneyimlerde bildirilen çok seyrek yan etkiler aşağıdadır.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Psikiyatrik hastalıkları: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Halüsinasyonlar.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Sinir sistemi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Sersemlik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uyku hali, uykusuzluk,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psikomotor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hiperaktivite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inme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Kardiyak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Taşikardi,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palpitasyon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Abdominal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ağrı, bulantı, kusma,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dispepsi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diyare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Hepato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-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bilier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Karaciğer enzimlerinde yükselme, hepatit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bilirubinde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artış.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Kas-iskelet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lar, bağ doku ve kemik hastalıkları: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Miyalji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Genel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lar ve uygulama bölgesine ilişkin </w:t>
      </w:r>
      <w:r w:rsidR="00FA5583"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hastalık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lar: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Çok seyrek: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Hipersensitivite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reaksiyonları (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anaflaksi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anjiyoödem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dispne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pruritus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döküntü ve ürtiker).</w:t>
      </w:r>
    </w:p>
    <w:p w:rsidR="009C5D5C" w:rsidRPr="00BE66E1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</w:p>
    <w:p w:rsidR="00BE66E1" w:rsidRPr="00BE66E1" w:rsidRDefault="00BE66E1" w:rsidP="00BE66E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BE66E1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 xml:space="preserve">Şüpheli 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advers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 xml:space="preserve"> reaksiyonların raporlanması</w:t>
      </w:r>
    </w:p>
    <w:p w:rsidR="00BE66E1" w:rsidRDefault="00BE66E1" w:rsidP="00BE66E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Ruhsatlandırma sonrası şüpheli ilaç 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reaksiyonu Türkiye 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Farmakovijilans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Merkezi (TÜFAM)'ne bildirmeleri gerekmektedir. (www.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titck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.gov.tr;          e-posta: 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tufam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@</w:t>
      </w:r>
      <w:proofErr w:type="spellStart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titck</w:t>
      </w:r>
      <w:proofErr w:type="spellEnd"/>
      <w:r w:rsidRPr="00BE66E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.gov.tr; tel: 0 800 314 00 08; faks: 0 312 218 35 99)</w:t>
      </w:r>
    </w:p>
    <w:p w:rsidR="00BE66E1" w:rsidRPr="00314428" w:rsidRDefault="00BE66E1" w:rsidP="00BE66E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4.9. Doz aşımı ve tedavisi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Doz aşımı durumunda,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absorbe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edilmemiş etkin maddeyi uzaklaştıracak standart önlemler alınmalıdır.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destekleyici tedavi önerilir.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Erişkinler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adolesanlarda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45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uygulanan (klinik dozun 9 katı) çok dozlu bir klinik araştırmada, klinik olarak önemli herhangi bir etki gözlenmemiştir.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hemodiyaliz ile elimine edilmemektedir; periton diyalizi ile elimine olup olmadığı bilinmemektedir.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 FARMAKOLOJİK ÖZELLİKLER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5.1. Farmakodinamik özellikler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Farmakoterapötik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grup: Sistemik kullanım için diğer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antihistaminler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ATC Kodu: R06A X27</w:t>
      </w:r>
    </w:p>
    <w:p w:rsidR="00BE66E1" w:rsidRDefault="00BE66E1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Etki mekanizması: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yapmayan, uzun etkili,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potent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selektif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periferik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histamin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Hı-reseptör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antagonistidir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oral uygulamadan sonra santral sinir sistemine girememesi nedeniyle,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periferik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histamin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</w:t>
      </w:r>
      <w:r w:rsidR="00AE0E06" w:rsidRPr="00314428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1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- reseptörlerini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selektif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bloke eder.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BE66E1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 xml:space="preserve">in </w:t>
      </w:r>
      <w:proofErr w:type="spellStart"/>
      <w:r w:rsidRPr="00BE66E1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vitro</w:t>
      </w:r>
      <w:proofErr w:type="spellEnd"/>
      <w:r w:rsidRPr="00BE66E1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 xml:space="preserve">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çalışmalarda antialerjik ö</w:t>
      </w:r>
      <w:r w:rsidR="00AE0E06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zellikler göstermiştir. Bunlar IL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-4, IL-6, IL-8 ve </w:t>
      </w:r>
      <w:r w:rsidR="00AE0E06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L-13 gibi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proinflamatuvar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sitokinlerin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insan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mast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hücrelerinden/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bazofîllerden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salınımının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inhibisyonunu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endotel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hücrelerinde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adezyon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molekülü P-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selektinin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ekspresyonunun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edilmesini içerir. Bu gözlemlerin klinik önemi henüz doğrulanmamıştır.</w:t>
      </w:r>
    </w:p>
    <w:p w:rsidR="009C5D5C" w:rsidRPr="00314428" w:rsidRDefault="00BE66E1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Şurubun etkinliği ayrı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çalışmalarda incelenmemiştir.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0E630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</w:t>
      </w:r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güvenliliği üç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çalışmada gösterilmiştir. 6 ay ila 11 yaşındaki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antihistanıinik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 almaya aday olan çocuklar, 1 mg (6 ila 11 ay), 1.25 mg (1 ila 5 yaş) veya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2.5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(6 ila 11 yaş) günlük doz almıştır. Klinik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laboratuvar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testleri,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vital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bulgular ve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QTc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corrected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QT) içeren EKG (Elektrokardiyografi) verileri, tedavinin iyi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tolere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edildiğini göstermiştir. Önerilen dozda verildiğinde,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aktivitesi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erişkin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popülasyonlarda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karşılaştırılabilir düzeydedir. Mevsimsel alerjik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/kronik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idiopatik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 seyri ve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profili erişkin ve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hastalarda benzer olduğundan,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erişkinlerdeki etkinliği,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popülasyona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ekstrapole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edilebilir.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14 gün boyunca, günde 20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uygulanan çok dozlu bir klinik araştırmada, istatistik ya da klinik açıdan önemli hiçbir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kardiyovasküler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 gözlenmemiştir.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on gün süreyle günde 45 mg (klinik dozun dokuz katı) verildiği bir klinik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farmakolojik çalışmada,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QTc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(EKG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 Q dalgası ile T dalgası arasındaki süre) aralığında uzama gözlenmemiştir.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sistemine kolayca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penetre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olmaz. Önerilen günlük 5 mg dozda,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somnolans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insidansmda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plaseboya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kıyasla bir artış olmamıştır. </w:t>
      </w:r>
      <w:proofErr w:type="spellStart"/>
      <w:r w:rsidR="00844E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tabletler, klinik araştırmalarda,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7.5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günlük dozda bile,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psikomotor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performansı etkilememiştir. Bir tek-doz çalışmasında,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5 mg, sübjektif uyku halinin şiddetlenmesi veya uçuşla ilgili faaliyetleri de kapsayan, uçuş performansının standart ölçümlerini etkilemez.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Klinik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farmakoloji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çalışmalarında, alkolle birlikte uygulama alkolün neden olduğu performans zayıflaması ya da uykusuzluk artışına neden olmaz.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grupları arasında yapılan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psikomotor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test sonuçlarında anlamlı bir fark bulunmamıştır.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tek başına ya da alkol ile birlikte alındığında, alkolün performans bozucu etkilerini artırmamıştır.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Çok dozlu,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ketokonazol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eritromisin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etkileşim çalışmalarında,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konsantrasyonlarında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klinik olarak önemli bir değişiklik gözlenmemiştir.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rinitli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yetişkin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adolesan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hastalarda, </w:t>
      </w:r>
      <w:proofErr w:type="spellStart"/>
      <w:r w:rsidR="00844E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tabletler, hapşırık, burunda akıntı ve kaşınma,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konjesyon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/ burun tıkanıklığı, aynı zamanda gözlerde kaşınma, yaşarma ve kızarıklık ve damakta kaşınma gibi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giderilmesinde etkili olmuştur. 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mevsimsel ve tekrarlayan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sınırlandırıldığı gibi,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süresine göre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da sınıflandırılabilir.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İntermitan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 haftada 4 günden az veya 4 haftadan daha az bir sürede görülmesi olarak tanımlanabilir.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Persistan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 haftada 4 gün veya daha fazla ve 4 haftadan daha fazla görülmesi olarak tanımlanabilir.</w:t>
      </w:r>
    </w:p>
    <w:p w:rsidR="009C5D5C" w:rsidRPr="00314428" w:rsidRDefault="00844E39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tabletler mevsimsel alerjik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rinitin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alevlenmesini azaltmada,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rino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-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konjunktivit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yaşam kalitesi anketindeki toplam </w:t>
      </w:r>
      <w:proofErr w:type="spell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skorlamada</w:t>
      </w:r>
      <w:proofErr w:type="spell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etkindir. En büyük iyileşme, </w:t>
      </w:r>
      <w:proofErr w:type="gramStart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semptomlarca</w:t>
      </w:r>
      <w:proofErr w:type="gramEnd"/>
      <w:r w:rsidR="009C5D5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kısıtlanan günlük aktiviteler ve pratik problemlerinin alanında görülmüştür.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4E295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Kronik </w:t>
      </w:r>
      <w:proofErr w:type="spellStart"/>
      <w:r w:rsidRPr="004E295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idiyopatik</w:t>
      </w:r>
      <w:proofErr w:type="spellEnd"/>
      <w:r w:rsidRPr="004E2951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ürtiker,</w:t>
      </w:r>
      <w:r w:rsidRPr="00300C74">
        <w:rPr>
          <w:rFonts w:ascii="Times New Roman" w:hAnsi="Times New Roman"/>
          <w:color w:val="FF0000"/>
          <w:spacing w:val="0"/>
          <w:position w:val="0"/>
          <w:sz w:val="24"/>
          <w:szCs w:val="24"/>
          <w:lang w:val="tr-TR"/>
        </w:rPr>
        <w:t xml:space="preserve">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etiyolojisi ne olursa olsun arka plandaki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fizyopatolojinin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benzer olması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prospektif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çalışmalara katılacak kronik hastaların daha kolay bulunabilmesi nedeniyle, ürtikere bir klinik model olarak incelenmiştir.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Histamin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salınması tüm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ürtikaryal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hastalıklara yol açan bir neden olduğundan,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klinik kılavuzlarda da önerildiği gibi, kronik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idiyopatik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ürtikere ilave olarak diğer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ürtikaryal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hastalıklardaki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semptomların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giderilmesinde de etkili olması beklenir.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Kronik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idiyopatik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ürtikeri olan hastalarda yürütülen 6 haftalık iki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-kontrollü çalışmada, </w:t>
      </w:r>
      <w:proofErr w:type="spellStart"/>
      <w:r w:rsidR="00300C74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tedavinin birinci gününden itibaren, kaşıntının hafiflemesinde ve derideki kabartı ve kızarıklıkların büyüklük ve sayısının azalmasında etkili olmuştur. Her iki 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çalışmada da, etki, 24 saatlik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dozlama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aralığı süresince değişmeden devam etmiştir. Kronik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idiyopatik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ürtikerdeki diğer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antihistaminik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çalışmalarında,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antihistaminiklere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yanıt vermeyen hastaların bir kısmı çalışmadan çıkarılmıştır.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Desloratadinle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 edilen %55 oranındaki hastaların %50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sinde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plaseboyla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 edilen %19 oranındaki hastaya göre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pruritusta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iyileşme gözlemlenmiştir.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tedavi aynı zamanda, uyku ve günlük rutin aktiviteler ile etkileşimde azalma ile dört puanlı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skalada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ölçülen, uyku ve günlük fonksiyonlarda iyileşme sağlamıştır.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5.2. </w:t>
      </w:r>
      <w:proofErr w:type="spellStart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özellikler 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özellikler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konsantrasyonları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yetişkin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adolesanlarda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uygulamadan sonra 30 dakika içinde saptanabilir düzeye gelir.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emilimi iyidir ve maksimum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konsantrasyona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yaklaşık 3 saat sonra ulaşılır.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terminal faz yarılanma ömrü yaklaşık 27 saattir.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birikim derecesi, yanlanma ömrü (yaklaşık 27 saat) ve günde tek doz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dozlama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sıklığı ile uyumludur.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biyoyararlanımı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5 ile 20 mg arasında doz ile orantılıdır.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Dağılım: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Bir dizi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klinik çalışmalarda, gönüllülerin %6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sı daha yüksek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konsantrasyonuna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ulaşmıştır.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bu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fenotipin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prevalansı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erişkin (%6) ve 2-11 yaş arası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gönüllülerde (%6) benzer iken, her iki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popülasyonda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siyahlarda (%18 erişkin, %16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 beyazlara (%2 erişkin, %3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 kıyasla daha yüksek bulunmuştur.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Sağlıklı erişkin gönüllülerde tablet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formülasyonuyla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yürütülen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bir çoklu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-doz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çalışmasında, dört gönüllünün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az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ettiği saptanmıştır. Bu kişilerde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maks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konsantrasyonu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yaklaşık 7 saatte 3 kat daha yüksekti ve terminal faz yarı-ömrü yaklaşık 89 saatti.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Alerjik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rinit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tanısı koyulmuş, 2-11 yaş arası zayıf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hastalarda şurup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formülasyonuyla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yapılmış çoklu doz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çalışmalarında benzer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parametreler gözlemlenmiştir.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maruziyette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(EAA) 6 kat daha yüksek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mak</w:t>
      </w:r>
      <w:r w:rsidR="00AE0E06" w:rsidRPr="00314428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3-6 saatte yaklaşık 3-4 kat daha yüksek olan 120 saat terminal yarı ömürdür. Yaşa uygun dozlarda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zayıf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edenler ve yetişkinlere maruz kalım benzerdir. Bu hastalarda genel güvenlilik profili genel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popülasyona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göre farklı değildir.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2 yaşın altındaki zayıf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edenlerde etkileri incelenmemiştir.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proteinlerine orta derecede (% 83 - % 87) bağlanır. 14 gün süreyle günde tek doz (5 mg ile 20 mg)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uygulamasını takiben, klinik olarak önem taşıyan herhangi bir ilaç birikim belirtisi bulunmamıştır.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yürütülen bir çapraz tasarımlı, tekli doz çalışmasında, tablet ve şurup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formülasyonlarının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biyoeşdeğer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oldukları saptanmıştır.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Ayrı tekli doz çalışmalarında, tavsiye edilen dozlarda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hastaların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EAA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Pr="0087502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maks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değerleri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şurubun 5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lık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 dozunu alan erişkinlerle benzer bulunmuştur.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</w:t>
      </w:r>
      <w:r w:rsidR="003052EC"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y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otransformasvon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metabolizmasından sorumlu enzim henüz tanımlanmamış olduğundan diğer ilaçlarla olabilecek bazı etkileşimler tamamen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gözardı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edilememektedir. CYP3A4 ve CYP2D6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nın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spesifik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inhibitörleri ile </w:t>
      </w:r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 xml:space="preserve">in </w:t>
      </w:r>
      <w:proofErr w:type="spellStart"/>
      <w:r w:rsidRPr="00314428">
        <w:rPr>
          <w:rFonts w:ascii="Times New Roman" w:hAnsi="Times New Roman"/>
          <w:i/>
          <w:spacing w:val="0"/>
          <w:position w:val="0"/>
          <w:sz w:val="24"/>
          <w:szCs w:val="24"/>
          <w:lang w:val="tr-TR"/>
        </w:rPr>
        <w:t>vivo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çalışmalar bu enzimlerin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metabolizmasında etkili olmadığını göstermiştir.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CYP3A4 veya CYP2D6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yı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etmemektedir ve P-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glikoprotein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substratı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inhibitörü değildir.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7.5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dozda kullanıldığı tek dozlu bir çalışmada, besinlerin (yağ ve kaloriden zengin kahvaltı)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dispozisyonu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üzerinde hiçbir etkisi olmadığı gösterilmiştir. Diğer bir çalışmada da, greyfurt suyunun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dispozisyonu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üzerinde bir etkisi bulunmamıştır.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5.3. Klinik öncesi güvenlilik verileri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loratidinin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primer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aktif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metabolitidir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gerçekleştirilen klinik dışı çalışmalar, önerilen dozda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uygulandığında,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benzer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kalitatif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kantitatif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profili olduğunu göstermiştir.</w:t>
      </w:r>
    </w:p>
    <w:p w:rsidR="009C5D5C" w:rsidRPr="00314428" w:rsidRDefault="009C5D5C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Güvenlilik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farmakolojisi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tekrarlanan doz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toksisitesi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genotoksisite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üreme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toksisitesinin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yer aldığı,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desloratidin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gerçekleştirilen klinik dışı çalışmaların verileri, insanlar için bir tehlike olmadığını göstermiştir.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Loratadin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yürütülen çalışmalarda,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karsinojenik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potansiyelin bulunmadığı kanıtlanmıştır.</w:t>
      </w: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6. FARMASÖTİK ÖZELLİKLER</w:t>
      </w: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>6.1 Yardımcı maddelerin listesi</w:t>
      </w:r>
    </w:p>
    <w:p w:rsidR="00F570C0" w:rsidRPr="00314428" w:rsidRDefault="00F570C0" w:rsidP="00F570C0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Propilen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glikol</w:t>
      </w:r>
    </w:p>
    <w:p w:rsidR="00F570C0" w:rsidRPr="00314428" w:rsidRDefault="00F570C0" w:rsidP="00F570C0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Sorbitol</w:t>
      </w:r>
      <w:proofErr w:type="spellEnd"/>
    </w:p>
    <w:p w:rsidR="00F570C0" w:rsidRPr="00314428" w:rsidRDefault="00F570C0" w:rsidP="00F570C0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Sodyum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sitrat</w:t>
      </w:r>
      <w:proofErr w:type="spellEnd"/>
    </w:p>
    <w:p w:rsidR="00F570C0" w:rsidRPr="00314428" w:rsidRDefault="00F570C0" w:rsidP="00F570C0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Sodyum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benzoat</w:t>
      </w:r>
      <w:proofErr w:type="spellEnd"/>
    </w:p>
    <w:p w:rsidR="00F570C0" w:rsidRPr="00314428" w:rsidRDefault="00F570C0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Disodyum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EDTA</w:t>
      </w:r>
    </w:p>
    <w:p w:rsidR="00B6494C" w:rsidRPr="00314428" w:rsidRDefault="00B6494C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Sitrik asit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</w:p>
    <w:p w:rsidR="00B6494C" w:rsidRPr="00314428" w:rsidRDefault="00B6494C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Şeker</w:t>
      </w:r>
    </w:p>
    <w:p w:rsidR="00B6494C" w:rsidRPr="00314428" w:rsidRDefault="00B6494C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Çilek Aroması</w:t>
      </w:r>
    </w:p>
    <w:p w:rsidR="00B6494C" w:rsidRPr="00314428" w:rsidRDefault="00EA7B4B" w:rsidP="009C5D5C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Gün batımı</w:t>
      </w:r>
      <w:r w:rsidR="00B6494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sarısı</w:t>
      </w:r>
    </w:p>
    <w:p w:rsidR="00B6494C" w:rsidRPr="00314428" w:rsidRDefault="00B6494C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Deiyonize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su</w:t>
      </w: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</w:pP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>6.2 Geçimsizlikler</w:t>
      </w:r>
    </w:p>
    <w:p w:rsidR="00AE0AF6" w:rsidRPr="00314428" w:rsidRDefault="00AE0AF6" w:rsidP="00AE0AF6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 ürün için geçerli değildir.</w:t>
      </w:r>
    </w:p>
    <w:p w:rsidR="004B36FE" w:rsidRPr="00314428" w:rsidRDefault="004B36FE" w:rsidP="00AE0AF6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>6.3 Raf ömrü</w:t>
      </w:r>
    </w:p>
    <w:p w:rsidR="004B36FE" w:rsidRPr="00314428" w:rsidRDefault="00214639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36</w:t>
      </w:r>
      <w:r w:rsidR="004B36FE"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Ay</w:t>
      </w: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</w:pPr>
    </w:p>
    <w:p w:rsidR="004B36FE" w:rsidRPr="00314428" w:rsidRDefault="004B36FE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 xml:space="preserve">6.4 Saklamaya yönelik özel </w:t>
      </w:r>
      <w:r w:rsidR="00AE0AF6"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>tedbirler</w:t>
      </w:r>
    </w:p>
    <w:p w:rsidR="00B6494C" w:rsidRPr="00314428" w:rsidRDefault="00B6494C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25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vertAlign w:val="superscript"/>
          <w:lang w:val="tr-TR"/>
        </w:rPr>
        <w:t>o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nin altında oda sıcaklığında saklayınız.</w:t>
      </w:r>
      <w:r w:rsidRPr="0031442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420DE5" w:rsidRPr="00314428" w:rsidRDefault="00420DE5" w:rsidP="009C5D5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B6494C" w:rsidRPr="00314428" w:rsidRDefault="00B6494C" w:rsidP="009C5D5C">
      <w:pPr>
        <w:spacing w:line="360" w:lineRule="auto"/>
        <w:jc w:val="both"/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 xml:space="preserve">6.5 Ambalajın niteliği ve içeriği </w:t>
      </w:r>
    </w:p>
    <w:p w:rsidR="00B6494C" w:rsidRPr="00314428" w:rsidRDefault="000672CB" w:rsidP="009C5D5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</w:t>
      </w:r>
      <w:r w:rsidR="00850EDE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lastik</w:t>
      </w:r>
      <w:r w:rsidR="00B6494C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kapak ile kapatılmış, amber renkli cam şişe.</w:t>
      </w:r>
    </w:p>
    <w:p w:rsidR="00864477" w:rsidRPr="00314428" w:rsidRDefault="003052EC" w:rsidP="003052E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kutu 1 şişe ve 1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er adet </w:t>
      </w:r>
      <w:proofErr w:type="gram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2.0</w:t>
      </w:r>
      <w:proofErr w:type="gram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</w:t>
      </w:r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l, 2.5 </w:t>
      </w:r>
      <w:proofErr w:type="spellStart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ye</w:t>
      </w:r>
      <w:proofErr w:type="spellEnd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işaretli 5 </w:t>
      </w:r>
      <w:proofErr w:type="spellStart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lik</w:t>
      </w:r>
      <w:proofErr w:type="spellEnd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214639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olipropilen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kaşık içermektedir.</w:t>
      </w:r>
    </w:p>
    <w:p w:rsidR="003052EC" w:rsidRPr="00314428" w:rsidRDefault="003052EC" w:rsidP="003052EC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B6494C" w:rsidRPr="00314428" w:rsidRDefault="00864477" w:rsidP="009C5D5C">
      <w:pPr>
        <w:spacing w:line="360" w:lineRule="auto"/>
        <w:jc w:val="both"/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 xml:space="preserve">6.6 </w:t>
      </w:r>
      <w:r w:rsidR="00B6494C" w:rsidRPr="00314428">
        <w:rPr>
          <w:rFonts w:ascii="Times New Roman" w:hAnsi="Times New Roman"/>
          <w:b/>
          <w:bCs/>
          <w:spacing w:val="0"/>
          <w:kern w:val="0"/>
          <w:position w:val="0"/>
          <w:sz w:val="24"/>
          <w:szCs w:val="24"/>
          <w:lang w:val="tr-TR"/>
        </w:rPr>
        <w:t>Beşeri tıbbi üründen arta kalan maddelerin imhası ve diğer özel önlemler</w:t>
      </w:r>
    </w:p>
    <w:p w:rsidR="00AE0AF6" w:rsidRPr="00314428" w:rsidRDefault="00AE0AF6" w:rsidP="00AE0AF6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Geçerli olduğu takdirde kullanılmış olan ürünler ya da atık materyaller 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‘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Tıbbi Atıkların Kontrolü yönetmeliği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‘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Ambalaj Atıklarının Kontrolü </w:t>
      </w:r>
      <w:proofErr w:type="spellStart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yönetmelikleri</w:t>
      </w:r>
      <w:r w:rsidR="00EA7B4B"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ne</w:t>
      </w:r>
      <w:proofErr w:type="spellEnd"/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uygun olarak imha edilmelidir.</w:t>
      </w:r>
    </w:p>
    <w:p w:rsidR="00802146" w:rsidRPr="00314428" w:rsidRDefault="00802146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7. RUHSAT SAHİBİ </w:t>
      </w: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Deva Holding A.Ş.</w:t>
      </w: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Halkalı Merkez Mah. Basın </w:t>
      </w:r>
      <w:proofErr w:type="spellStart"/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Ekpres</w:t>
      </w:r>
      <w:proofErr w:type="spellEnd"/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Cad.</w:t>
      </w:r>
    </w:p>
    <w:p w:rsidR="00802146" w:rsidRPr="00314428" w:rsidRDefault="001706AE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No:1 34303 </w:t>
      </w:r>
      <w:r w:rsidR="00802146"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Küçükçekmece-İstanbul</w:t>
      </w: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Tel:</w:t>
      </w: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   0212 692 92 </w:t>
      </w:r>
      <w:proofErr w:type="spellStart"/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92</w:t>
      </w:r>
      <w:proofErr w:type="spellEnd"/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Faks:</w:t>
      </w:r>
      <w:r w:rsidRPr="0031442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0212 697 00 24</w:t>
      </w: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lastRenderedPageBreak/>
        <w:t>8. RUHSAT NUMARASI</w:t>
      </w:r>
      <w:r w:rsidR="00AE0AF6"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 (LARI)</w:t>
      </w:r>
    </w:p>
    <w:p w:rsidR="00B6494C" w:rsidRPr="00314428" w:rsidRDefault="002B1C90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210/67</w:t>
      </w:r>
    </w:p>
    <w:p w:rsidR="00802146" w:rsidRPr="00314428" w:rsidRDefault="00802146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2146" w:rsidRPr="00314428" w:rsidRDefault="00802146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9. İLK RUHSAT TARİHİ/ RUHSAT YENİLEME TARİHİ </w:t>
      </w:r>
    </w:p>
    <w:p w:rsidR="00AE0AF6" w:rsidRPr="00314428" w:rsidRDefault="00AE0AF6" w:rsidP="00AE0AF6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İlk ruhsat tarihi: 28.02.2007</w:t>
      </w:r>
    </w:p>
    <w:p w:rsidR="00AE0AF6" w:rsidRPr="00314428" w:rsidRDefault="00AE0AF6" w:rsidP="00AE0AF6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Ruhsat yenileme tarihi:</w:t>
      </w:r>
    </w:p>
    <w:p w:rsidR="00802146" w:rsidRPr="00314428" w:rsidRDefault="00802146" w:rsidP="009C5D5C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2146" w:rsidRDefault="00802146" w:rsidP="009C5D5C">
      <w:pPr>
        <w:spacing w:line="360" w:lineRule="auto"/>
        <w:jc w:val="both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10.  KÜB</w:t>
      </w:r>
      <w:r w:rsidR="00EA7B4B"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’</w:t>
      </w:r>
      <w:r w:rsidRPr="00314428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ÜN YENİLENME TARİHİ </w:t>
      </w:r>
    </w:p>
    <w:p w:rsidR="00663F5E" w:rsidRPr="00663F5E" w:rsidRDefault="00663F5E" w:rsidP="009C5D5C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sectPr w:rsidR="00663F5E" w:rsidRPr="00663F5E" w:rsidSect="005A02C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39" w:rsidRDefault="00844E39">
      <w:r>
        <w:separator/>
      </w:r>
    </w:p>
  </w:endnote>
  <w:endnote w:type="continuationSeparator" w:id="0">
    <w:p w:rsidR="00844E39" w:rsidRDefault="0084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39" w:rsidRPr="009C5D5C" w:rsidRDefault="00FC518C">
    <w:pPr>
      <w:pStyle w:val="Altbilgi"/>
      <w:jc w:val="right"/>
      <w:rPr>
        <w:rFonts w:ascii="Times New Roman" w:hAnsi="Times New Roman"/>
        <w:sz w:val="24"/>
      </w:rPr>
    </w:pPr>
    <w:r w:rsidRPr="009C5D5C">
      <w:rPr>
        <w:rFonts w:ascii="Times New Roman" w:hAnsi="Times New Roman"/>
        <w:sz w:val="24"/>
      </w:rPr>
      <w:fldChar w:fldCharType="begin"/>
    </w:r>
    <w:r w:rsidR="00844E39" w:rsidRPr="009C5D5C">
      <w:rPr>
        <w:rFonts w:ascii="Times New Roman" w:hAnsi="Times New Roman"/>
        <w:sz w:val="24"/>
      </w:rPr>
      <w:instrText xml:space="preserve"> PAGE   \* MERGEFORMAT </w:instrText>
    </w:r>
    <w:r w:rsidRPr="009C5D5C">
      <w:rPr>
        <w:rFonts w:ascii="Times New Roman" w:hAnsi="Times New Roman"/>
        <w:sz w:val="24"/>
      </w:rPr>
      <w:fldChar w:fldCharType="separate"/>
    </w:r>
    <w:r w:rsidR="0087502F">
      <w:rPr>
        <w:rFonts w:ascii="Times New Roman" w:hAnsi="Times New Roman"/>
        <w:noProof/>
        <w:sz w:val="24"/>
      </w:rPr>
      <w:t>1</w:t>
    </w:r>
    <w:r w:rsidRPr="009C5D5C">
      <w:rPr>
        <w:rFonts w:ascii="Times New Roman" w:hAnsi="Times New Roman"/>
        <w:sz w:val="24"/>
      </w:rPr>
      <w:fldChar w:fldCharType="end"/>
    </w:r>
  </w:p>
  <w:p w:rsidR="00844E39" w:rsidRDefault="00844E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39" w:rsidRDefault="00844E39">
      <w:r>
        <w:separator/>
      </w:r>
    </w:p>
  </w:footnote>
  <w:footnote w:type="continuationSeparator" w:id="0">
    <w:p w:rsidR="00844E39" w:rsidRDefault="00844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1BC"/>
    <w:multiLevelType w:val="multilevel"/>
    <w:tmpl w:val="CAC6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D2FA2"/>
    <w:multiLevelType w:val="hybridMultilevel"/>
    <w:tmpl w:val="24869E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1EBE124C"/>
    <w:multiLevelType w:val="hybridMultilevel"/>
    <w:tmpl w:val="CAC6889C"/>
    <w:lvl w:ilvl="0" w:tplc="3500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81BA3736">
      <w:numFmt w:val="none"/>
      <w:lvlText w:val=""/>
      <w:lvlJc w:val="left"/>
      <w:pPr>
        <w:tabs>
          <w:tab w:val="num" w:pos="360"/>
        </w:tabs>
      </w:pPr>
    </w:lvl>
    <w:lvl w:ilvl="2" w:tplc="A500A424">
      <w:numFmt w:val="none"/>
      <w:lvlText w:val=""/>
      <w:lvlJc w:val="left"/>
      <w:pPr>
        <w:tabs>
          <w:tab w:val="num" w:pos="360"/>
        </w:tabs>
      </w:pPr>
    </w:lvl>
    <w:lvl w:ilvl="3" w:tplc="8CA4EEF6">
      <w:numFmt w:val="none"/>
      <w:lvlText w:val=""/>
      <w:lvlJc w:val="left"/>
      <w:pPr>
        <w:tabs>
          <w:tab w:val="num" w:pos="360"/>
        </w:tabs>
      </w:pPr>
    </w:lvl>
    <w:lvl w:ilvl="4" w:tplc="FD184B8C">
      <w:numFmt w:val="none"/>
      <w:lvlText w:val=""/>
      <w:lvlJc w:val="left"/>
      <w:pPr>
        <w:tabs>
          <w:tab w:val="num" w:pos="360"/>
        </w:tabs>
      </w:pPr>
    </w:lvl>
    <w:lvl w:ilvl="5" w:tplc="B79A4418">
      <w:numFmt w:val="none"/>
      <w:lvlText w:val=""/>
      <w:lvlJc w:val="left"/>
      <w:pPr>
        <w:tabs>
          <w:tab w:val="num" w:pos="360"/>
        </w:tabs>
      </w:pPr>
    </w:lvl>
    <w:lvl w:ilvl="6" w:tplc="9FCCFA74">
      <w:numFmt w:val="none"/>
      <w:lvlText w:val=""/>
      <w:lvlJc w:val="left"/>
      <w:pPr>
        <w:tabs>
          <w:tab w:val="num" w:pos="360"/>
        </w:tabs>
      </w:pPr>
    </w:lvl>
    <w:lvl w:ilvl="7" w:tplc="C1FA4220">
      <w:numFmt w:val="none"/>
      <w:lvlText w:val=""/>
      <w:lvlJc w:val="left"/>
      <w:pPr>
        <w:tabs>
          <w:tab w:val="num" w:pos="360"/>
        </w:tabs>
      </w:pPr>
    </w:lvl>
    <w:lvl w:ilvl="8" w:tplc="20AE18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434B57"/>
    <w:multiLevelType w:val="hybridMultilevel"/>
    <w:tmpl w:val="03008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6B09"/>
    <w:multiLevelType w:val="multilevel"/>
    <w:tmpl w:val="C3BC8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49BE3526"/>
    <w:multiLevelType w:val="hybridMultilevel"/>
    <w:tmpl w:val="E676E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D95"/>
    <w:multiLevelType w:val="hybridMultilevel"/>
    <w:tmpl w:val="A8381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68"/>
    <w:rsid w:val="0000241D"/>
    <w:rsid w:val="00007359"/>
    <w:rsid w:val="00011529"/>
    <w:rsid w:val="00012F5A"/>
    <w:rsid w:val="000157CA"/>
    <w:rsid w:val="0004157A"/>
    <w:rsid w:val="00046E69"/>
    <w:rsid w:val="00064F0F"/>
    <w:rsid w:val="00066C95"/>
    <w:rsid w:val="000672CB"/>
    <w:rsid w:val="00071225"/>
    <w:rsid w:val="00074ADB"/>
    <w:rsid w:val="000817BB"/>
    <w:rsid w:val="000A3611"/>
    <w:rsid w:val="000B39B9"/>
    <w:rsid w:val="000C4B51"/>
    <w:rsid w:val="000C683C"/>
    <w:rsid w:val="000C7C46"/>
    <w:rsid w:val="000E207D"/>
    <w:rsid w:val="000E630C"/>
    <w:rsid w:val="000F4DF9"/>
    <w:rsid w:val="000F7EF6"/>
    <w:rsid w:val="0010782E"/>
    <w:rsid w:val="001201F2"/>
    <w:rsid w:val="001308AC"/>
    <w:rsid w:val="00143166"/>
    <w:rsid w:val="0015182A"/>
    <w:rsid w:val="001706AE"/>
    <w:rsid w:val="0017528B"/>
    <w:rsid w:val="00176972"/>
    <w:rsid w:val="00191CAA"/>
    <w:rsid w:val="00194BA4"/>
    <w:rsid w:val="001C1B52"/>
    <w:rsid w:val="001D5782"/>
    <w:rsid w:val="001D6988"/>
    <w:rsid w:val="00211DC1"/>
    <w:rsid w:val="00214639"/>
    <w:rsid w:val="00217192"/>
    <w:rsid w:val="00242215"/>
    <w:rsid w:val="002449E8"/>
    <w:rsid w:val="002618A5"/>
    <w:rsid w:val="002631EE"/>
    <w:rsid w:val="002B1C90"/>
    <w:rsid w:val="002C317C"/>
    <w:rsid w:val="002C4803"/>
    <w:rsid w:val="002C6C79"/>
    <w:rsid w:val="002D115A"/>
    <w:rsid w:val="002D4451"/>
    <w:rsid w:val="002E4FCF"/>
    <w:rsid w:val="00300C74"/>
    <w:rsid w:val="003052EC"/>
    <w:rsid w:val="00305376"/>
    <w:rsid w:val="00311160"/>
    <w:rsid w:val="00314428"/>
    <w:rsid w:val="00315FDF"/>
    <w:rsid w:val="00322D30"/>
    <w:rsid w:val="00334FD4"/>
    <w:rsid w:val="003576FD"/>
    <w:rsid w:val="0037438B"/>
    <w:rsid w:val="00396B4B"/>
    <w:rsid w:val="003A7081"/>
    <w:rsid w:val="003B2768"/>
    <w:rsid w:val="003D2977"/>
    <w:rsid w:val="003E0B10"/>
    <w:rsid w:val="00402926"/>
    <w:rsid w:val="00420DE5"/>
    <w:rsid w:val="0044025C"/>
    <w:rsid w:val="0045321C"/>
    <w:rsid w:val="004626B5"/>
    <w:rsid w:val="00473A3C"/>
    <w:rsid w:val="004820E2"/>
    <w:rsid w:val="00490B3C"/>
    <w:rsid w:val="004A110E"/>
    <w:rsid w:val="004A13AE"/>
    <w:rsid w:val="004A2590"/>
    <w:rsid w:val="004A4FB8"/>
    <w:rsid w:val="004A5553"/>
    <w:rsid w:val="004B36FE"/>
    <w:rsid w:val="004B3F0B"/>
    <w:rsid w:val="004C13C6"/>
    <w:rsid w:val="004E0D13"/>
    <w:rsid w:val="004E2951"/>
    <w:rsid w:val="004F1DD2"/>
    <w:rsid w:val="00527DB5"/>
    <w:rsid w:val="005378A7"/>
    <w:rsid w:val="00542946"/>
    <w:rsid w:val="00547EE1"/>
    <w:rsid w:val="00557CD0"/>
    <w:rsid w:val="005A02C1"/>
    <w:rsid w:val="005F3B7B"/>
    <w:rsid w:val="005F5DB0"/>
    <w:rsid w:val="00605DDE"/>
    <w:rsid w:val="00617336"/>
    <w:rsid w:val="006224A9"/>
    <w:rsid w:val="0062385C"/>
    <w:rsid w:val="00624DF8"/>
    <w:rsid w:val="006332BF"/>
    <w:rsid w:val="00633594"/>
    <w:rsid w:val="00643C7D"/>
    <w:rsid w:val="00652A3D"/>
    <w:rsid w:val="006537D7"/>
    <w:rsid w:val="00663F5E"/>
    <w:rsid w:val="00673923"/>
    <w:rsid w:val="00695602"/>
    <w:rsid w:val="006C214B"/>
    <w:rsid w:val="006C5403"/>
    <w:rsid w:val="006D0A0B"/>
    <w:rsid w:val="006E6FF9"/>
    <w:rsid w:val="006F1F3A"/>
    <w:rsid w:val="006F2766"/>
    <w:rsid w:val="006F7C2F"/>
    <w:rsid w:val="00715CBF"/>
    <w:rsid w:val="00716718"/>
    <w:rsid w:val="0073719F"/>
    <w:rsid w:val="00760D72"/>
    <w:rsid w:val="00761FC9"/>
    <w:rsid w:val="00775A71"/>
    <w:rsid w:val="00786EAE"/>
    <w:rsid w:val="007A3B14"/>
    <w:rsid w:val="007B5CC3"/>
    <w:rsid w:val="007D515A"/>
    <w:rsid w:val="007E26E3"/>
    <w:rsid w:val="007E47AD"/>
    <w:rsid w:val="007F14A1"/>
    <w:rsid w:val="007F563B"/>
    <w:rsid w:val="00802146"/>
    <w:rsid w:val="00805CBE"/>
    <w:rsid w:val="00810298"/>
    <w:rsid w:val="0081522F"/>
    <w:rsid w:val="00815F1C"/>
    <w:rsid w:val="00841F09"/>
    <w:rsid w:val="00844224"/>
    <w:rsid w:val="00844E39"/>
    <w:rsid w:val="00850EDE"/>
    <w:rsid w:val="00862E4C"/>
    <w:rsid w:val="0086333D"/>
    <w:rsid w:val="00864477"/>
    <w:rsid w:val="00867CCA"/>
    <w:rsid w:val="00870AF9"/>
    <w:rsid w:val="0087502F"/>
    <w:rsid w:val="008842EB"/>
    <w:rsid w:val="00895E6F"/>
    <w:rsid w:val="008A4706"/>
    <w:rsid w:val="008A4D22"/>
    <w:rsid w:val="008B048D"/>
    <w:rsid w:val="008B33C4"/>
    <w:rsid w:val="008C63EA"/>
    <w:rsid w:val="008C733E"/>
    <w:rsid w:val="008D2E84"/>
    <w:rsid w:val="008D5ED2"/>
    <w:rsid w:val="008E477D"/>
    <w:rsid w:val="0090044D"/>
    <w:rsid w:val="00914396"/>
    <w:rsid w:val="00935C98"/>
    <w:rsid w:val="00936952"/>
    <w:rsid w:val="00947442"/>
    <w:rsid w:val="00957BDA"/>
    <w:rsid w:val="00973A2D"/>
    <w:rsid w:val="009757F7"/>
    <w:rsid w:val="00977BDF"/>
    <w:rsid w:val="009805CC"/>
    <w:rsid w:val="0098632C"/>
    <w:rsid w:val="009B189C"/>
    <w:rsid w:val="009C1AC8"/>
    <w:rsid w:val="009C5D5C"/>
    <w:rsid w:val="009C7F8F"/>
    <w:rsid w:val="00A278BE"/>
    <w:rsid w:val="00A34AF0"/>
    <w:rsid w:val="00A509CA"/>
    <w:rsid w:val="00A65A9E"/>
    <w:rsid w:val="00A70CAC"/>
    <w:rsid w:val="00AA1FAE"/>
    <w:rsid w:val="00AB5156"/>
    <w:rsid w:val="00AD20A4"/>
    <w:rsid w:val="00AD36FD"/>
    <w:rsid w:val="00AE0AF6"/>
    <w:rsid w:val="00AE0E06"/>
    <w:rsid w:val="00B01B5B"/>
    <w:rsid w:val="00B04733"/>
    <w:rsid w:val="00B16157"/>
    <w:rsid w:val="00B2277B"/>
    <w:rsid w:val="00B26C55"/>
    <w:rsid w:val="00B31A86"/>
    <w:rsid w:val="00B51834"/>
    <w:rsid w:val="00B6494C"/>
    <w:rsid w:val="00B81652"/>
    <w:rsid w:val="00B942FC"/>
    <w:rsid w:val="00B97258"/>
    <w:rsid w:val="00BB1579"/>
    <w:rsid w:val="00BD0E33"/>
    <w:rsid w:val="00BD2468"/>
    <w:rsid w:val="00BE66E1"/>
    <w:rsid w:val="00C330EC"/>
    <w:rsid w:val="00C33E68"/>
    <w:rsid w:val="00C3512B"/>
    <w:rsid w:val="00C359C0"/>
    <w:rsid w:val="00C52BF1"/>
    <w:rsid w:val="00C71816"/>
    <w:rsid w:val="00C72F56"/>
    <w:rsid w:val="00C76328"/>
    <w:rsid w:val="00C767E7"/>
    <w:rsid w:val="00C772C3"/>
    <w:rsid w:val="00CB551B"/>
    <w:rsid w:val="00CC79C4"/>
    <w:rsid w:val="00CD55BE"/>
    <w:rsid w:val="00CE25C2"/>
    <w:rsid w:val="00CE2738"/>
    <w:rsid w:val="00D24572"/>
    <w:rsid w:val="00D46835"/>
    <w:rsid w:val="00D505A1"/>
    <w:rsid w:val="00D5467F"/>
    <w:rsid w:val="00D71083"/>
    <w:rsid w:val="00D7369D"/>
    <w:rsid w:val="00D771A8"/>
    <w:rsid w:val="00D80377"/>
    <w:rsid w:val="00D85C87"/>
    <w:rsid w:val="00DB30B1"/>
    <w:rsid w:val="00DC7BBF"/>
    <w:rsid w:val="00DC7F4D"/>
    <w:rsid w:val="00DD0A10"/>
    <w:rsid w:val="00DF09A2"/>
    <w:rsid w:val="00E173D9"/>
    <w:rsid w:val="00E60C9D"/>
    <w:rsid w:val="00E640E5"/>
    <w:rsid w:val="00E7654E"/>
    <w:rsid w:val="00E802A8"/>
    <w:rsid w:val="00E85C45"/>
    <w:rsid w:val="00EA6D2A"/>
    <w:rsid w:val="00EA7B4B"/>
    <w:rsid w:val="00EA7DF4"/>
    <w:rsid w:val="00EB4552"/>
    <w:rsid w:val="00EB78FA"/>
    <w:rsid w:val="00ED4A42"/>
    <w:rsid w:val="00ED6589"/>
    <w:rsid w:val="00EE7B5F"/>
    <w:rsid w:val="00EF6763"/>
    <w:rsid w:val="00F108B7"/>
    <w:rsid w:val="00F157F9"/>
    <w:rsid w:val="00F331F9"/>
    <w:rsid w:val="00F5109B"/>
    <w:rsid w:val="00F570C0"/>
    <w:rsid w:val="00F72760"/>
    <w:rsid w:val="00F91555"/>
    <w:rsid w:val="00F939A2"/>
    <w:rsid w:val="00FA5583"/>
    <w:rsid w:val="00FA7497"/>
    <w:rsid w:val="00FC518C"/>
    <w:rsid w:val="00FF1229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C9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kern w:val="32"/>
      <w:position w:val="2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449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449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A02C1"/>
  </w:style>
  <w:style w:type="paragraph" w:styleId="AltKonuBal">
    <w:name w:val="Subtitle"/>
    <w:basedOn w:val="Normal"/>
    <w:next w:val="Normal"/>
    <w:link w:val="AltKonuBalChar"/>
    <w:qFormat/>
    <w:rsid w:val="000157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157CA"/>
    <w:rPr>
      <w:rFonts w:ascii="Cambria" w:eastAsia="Times New Roman" w:hAnsi="Cambria" w:cs="Times New Roman"/>
      <w:spacing w:val="20"/>
      <w:kern w:val="32"/>
      <w:position w:val="2"/>
      <w:sz w:val="24"/>
      <w:szCs w:val="24"/>
      <w:lang w:val="en-GB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B36F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B36FE"/>
    <w:rPr>
      <w:rFonts w:ascii="Arial" w:hAnsi="Arial"/>
      <w:spacing w:val="20"/>
      <w:kern w:val="32"/>
      <w:position w:val="2"/>
      <w:sz w:val="16"/>
      <w:szCs w:val="16"/>
      <w:lang w:val="en-GB"/>
    </w:rPr>
  </w:style>
  <w:style w:type="paragraph" w:styleId="BalonMetni">
    <w:name w:val="Balloon Text"/>
    <w:basedOn w:val="Normal"/>
    <w:link w:val="BalonMetniChar"/>
    <w:rsid w:val="00537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378A7"/>
    <w:rPr>
      <w:rFonts w:ascii="Tahoma" w:hAnsi="Tahoma" w:cs="Tahoma"/>
      <w:spacing w:val="20"/>
      <w:kern w:val="32"/>
      <w:position w:val="2"/>
      <w:sz w:val="16"/>
      <w:szCs w:val="16"/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9C5D5C"/>
    <w:rPr>
      <w:rFonts w:ascii="Arial" w:hAnsi="Arial"/>
      <w:spacing w:val="20"/>
      <w:kern w:val="32"/>
      <w:position w:val="2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2374</Words>
  <Characters>16946</Characters>
  <Application>Microsoft Office Word</Application>
  <DocSecurity>0</DocSecurity>
  <Lines>141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TIBBİ ÜRÜNÜN ADI</vt:lpstr>
      <vt:lpstr>1- TIBBİ ÜRÜNÜN ADI</vt:lpstr>
    </vt:vector>
  </TitlesOfParts>
  <Company>Deva Holding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sterzi</dc:creator>
  <cp:keywords/>
  <dc:description/>
  <cp:lastModifiedBy>gcolakoglu</cp:lastModifiedBy>
  <cp:revision>11</cp:revision>
  <cp:lastPrinted>2013-10-30T11:24:00Z</cp:lastPrinted>
  <dcterms:created xsi:type="dcterms:W3CDTF">2013-12-13T14:51:00Z</dcterms:created>
  <dcterms:modified xsi:type="dcterms:W3CDTF">2014-09-15T06:29:00Z</dcterms:modified>
</cp:coreProperties>
</file>