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B" w:rsidRPr="001156AA" w:rsidRDefault="00B8431B" w:rsidP="00B843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KISA ÜRÜN BİLGİSİ</w:t>
      </w:r>
    </w:p>
    <w:p w:rsidR="00B8431B" w:rsidRPr="001156AA" w:rsidRDefault="00B8431B" w:rsidP="00B843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8431B" w:rsidRPr="001156AA" w:rsidRDefault="00EE03B4" w:rsidP="00B84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1.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="00B8431B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BEŞERİ TIBBİ ÜRÜNÜN ADI</w:t>
      </w:r>
    </w:p>
    <w:p w:rsidR="00666E19" w:rsidRPr="001156AA" w:rsidRDefault="00555A81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200 mg film tablet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2.</w:t>
      </w:r>
      <w:r w:rsidR="00EE03B4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KALİTATİF VE KANTİTATİF BİLEŞİM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Etkin madde: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260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,88 mg (200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eşdeğer)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Yardımcı madde(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ler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):</w:t>
      </w:r>
    </w:p>
    <w:p w:rsidR="00E76197" w:rsidRPr="001156AA" w:rsidRDefault="00E76197" w:rsidP="00E7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Laktoz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monohidrat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5170E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35,12 mg </w:t>
      </w:r>
    </w:p>
    <w:p w:rsidR="00E76197" w:rsidRPr="001156AA" w:rsidRDefault="00E76197" w:rsidP="00E7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Sodyum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lauril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sülfat     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5170E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9,00 mg </w:t>
      </w:r>
    </w:p>
    <w:p w:rsidR="00E76197" w:rsidRPr="001156AA" w:rsidRDefault="00E76197" w:rsidP="00E7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Çapraz bağlı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karboksimetil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selüloz</w:t>
      </w:r>
      <w:r w:rsidR="005170E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gramStart"/>
      <w:r w:rsidR="005170E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sodyum 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30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,00 mg</w:t>
      </w:r>
    </w:p>
    <w:p w:rsidR="00E76197" w:rsidRPr="001156AA" w:rsidRDefault="00E76197" w:rsidP="00E7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Yardımcı maddeler için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6.1'e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bakınız.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3.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FARMASÖTİK FORM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Film tablet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Beyaz-beyazımsı,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oblong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 film tablet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KLİNİK ÖZELLİKLER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4.1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Terapötik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666E19" w:rsidRPr="001156AA" w:rsidRDefault="00555A81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 mikroorganizmaların neden olduğu özellikle aşağıdaki 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</w:t>
      </w:r>
      <w:r w:rsidR="00C9531E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n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tedavisinde kullanılır.</w:t>
      </w:r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Üst solunum yolu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enfeksiyonları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Tonsillit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 farenjit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-Akut sinüzit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-Akut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otitis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media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(sadece çocuklarda)</w:t>
      </w:r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Alt solunum yolu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enfeksiyonları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-Akut bronşit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Pnömoni</w:t>
      </w:r>
      <w:proofErr w:type="spellEnd"/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Kronik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obstrüktif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akciğer hastalığının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süperinfeksiyonları</w:t>
      </w:r>
      <w:proofErr w:type="spellEnd"/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Komplike olmayan alt ve üst idrar yolla</w:t>
      </w:r>
      <w:r w:rsidR="000F138D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enfeksiyonları</w:t>
      </w:r>
      <w:proofErr w:type="gramEnd"/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Komplike olmayan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gonokokal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>üretrit</w:t>
      </w:r>
      <w:proofErr w:type="spellEnd"/>
    </w:p>
    <w:p w:rsidR="00666E19" w:rsidRPr="001156AA" w:rsidRDefault="00666E19" w:rsidP="00666E1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Cilt ve yumuşak doku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enfeksiyonları</w:t>
      </w:r>
      <w:proofErr w:type="gramEnd"/>
    </w:p>
    <w:p w:rsidR="00920BC9" w:rsidRPr="001156AA" w:rsidRDefault="00920BC9" w:rsidP="00920BC9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4.2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Pozoloji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ve uygulama şekli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Pozoloji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/uygulama sıklığı ve süresi:</w:t>
      </w:r>
    </w:p>
    <w:p w:rsidR="00666E19" w:rsidRPr="001156AA" w:rsidRDefault="00555A81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için önerilen dozaj aşağıdaki tabloda verilmiştir:</w:t>
      </w:r>
    </w:p>
    <w:tbl>
      <w:tblPr>
        <w:tblStyle w:val="TabloKlavuzu"/>
        <w:tblW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59"/>
        <w:gridCol w:w="2464"/>
      </w:tblGrid>
      <w:tr w:rsidR="00666E19" w:rsidRPr="001156AA" w:rsidTr="00456A9B">
        <w:trPr>
          <w:trHeight w:val="410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Endikasyon</w:t>
            </w:r>
            <w:proofErr w:type="spellEnd"/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Günlük doz</w:t>
            </w: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Doz sıklığı</w:t>
            </w:r>
          </w:p>
        </w:tc>
      </w:tr>
      <w:tr w:rsidR="00666E19" w:rsidRPr="001156AA" w:rsidTr="00456A9B">
        <w:trPr>
          <w:trHeight w:val="422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Üst solunum yolu </w:t>
            </w:r>
            <w:proofErr w:type="gramStart"/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666E19" w:rsidRPr="001156AA" w:rsidTr="00456A9B">
        <w:trPr>
          <w:trHeight w:val="410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Tonsillit</w:t>
            </w:r>
            <w:proofErr w:type="spellEnd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, farenjit</w:t>
            </w:r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200 mg</w:t>
            </w: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100 mg</w:t>
            </w:r>
          </w:p>
        </w:tc>
      </w:tr>
      <w:tr w:rsidR="00666E19" w:rsidRPr="001156AA" w:rsidTr="00456A9B">
        <w:trPr>
          <w:trHeight w:val="410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Akut sinüzit</w:t>
            </w:r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 mg</w:t>
            </w: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200 mg</w:t>
            </w:r>
          </w:p>
        </w:tc>
      </w:tr>
      <w:tr w:rsidR="00666E19" w:rsidRPr="001156AA" w:rsidTr="00456A9B">
        <w:trPr>
          <w:trHeight w:val="410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Alt solunum yolu </w:t>
            </w:r>
            <w:proofErr w:type="gramStart"/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456A9B" w:rsidRPr="001156AA" w:rsidTr="00456A9B">
        <w:trPr>
          <w:trHeight w:val="27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Akut bronşit*</w:t>
            </w:r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200 mg</w:t>
            </w:r>
          </w:p>
        </w:tc>
        <w:tc>
          <w:tcPr>
            <w:tcW w:w="2464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100 mg</w:t>
            </w:r>
          </w:p>
        </w:tc>
      </w:tr>
      <w:tr w:rsidR="00456A9B" w:rsidRPr="001156AA" w:rsidTr="00456A9B">
        <w:trPr>
          <w:trHeight w:val="42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Bakteriyel </w:t>
            </w: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pnömoni</w:t>
            </w:r>
            <w:proofErr w:type="spellEnd"/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 mg</w:t>
            </w:r>
          </w:p>
        </w:tc>
        <w:tc>
          <w:tcPr>
            <w:tcW w:w="2464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200 mg</w:t>
            </w:r>
          </w:p>
        </w:tc>
      </w:tr>
      <w:tr w:rsidR="00666E19" w:rsidRPr="001156AA" w:rsidTr="00456A9B">
        <w:trPr>
          <w:trHeight w:val="425"/>
        </w:trPr>
        <w:tc>
          <w:tcPr>
            <w:tcW w:w="4786" w:type="dxa"/>
          </w:tcPr>
          <w:p w:rsidR="000F138D" w:rsidRPr="001156AA" w:rsidRDefault="00666E19" w:rsidP="000F13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Kronik </w:t>
            </w: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obstrüktif</w:t>
            </w:r>
            <w:proofErr w:type="spellEnd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akciğer hastalığının (KOAH)</w:t>
            </w:r>
            <w:r w:rsidR="000F138D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38D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süperinfeksiyonları</w:t>
            </w:r>
            <w:proofErr w:type="spellEnd"/>
          </w:p>
        </w:tc>
        <w:tc>
          <w:tcPr>
            <w:tcW w:w="1559" w:type="dxa"/>
          </w:tcPr>
          <w:p w:rsidR="00666E19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 mg</w:t>
            </w:r>
          </w:p>
        </w:tc>
        <w:tc>
          <w:tcPr>
            <w:tcW w:w="2464" w:type="dxa"/>
          </w:tcPr>
          <w:p w:rsidR="00666E19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200 mg</w:t>
            </w:r>
          </w:p>
        </w:tc>
      </w:tr>
      <w:tr w:rsidR="00666E19" w:rsidRPr="001156AA" w:rsidTr="00456A9B">
        <w:trPr>
          <w:trHeight w:val="425"/>
        </w:trPr>
        <w:tc>
          <w:tcPr>
            <w:tcW w:w="4786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İdrar yolları </w:t>
            </w:r>
            <w:proofErr w:type="gramStart"/>
            <w:r w:rsidRPr="001156AA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559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456A9B" w:rsidRPr="001156AA" w:rsidTr="00456A9B">
        <w:trPr>
          <w:trHeight w:val="42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Komplike olmayan alt idrar yolu </w:t>
            </w:r>
            <w:proofErr w:type="gram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enfeksiyonu</w:t>
            </w:r>
            <w:proofErr w:type="gramEnd"/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200 mg</w:t>
            </w:r>
          </w:p>
        </w:tc>
        <w:tc>
          <w:tcPr>
            <w:tcW w:w="2464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100 mg</w:t>
            </w:r>
          </w:p>
        </w:tc>
      </w:tr>
      <w:tr w:rsidR="00456A9B" w:rsidRPr="001156AA" w:rsidTr="00456A9B">
        <w:trPr>
          <w:trHeight w:val="42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Komplike olmayan üst idrar yolu </w:t>
            </w:r>
            <w:proofErr w:type="gram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enfeksiyonu</w:t>
            </w:r>
            <w:proofErr w:type="gramEnd"/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 mg</w:t>
            </w:r>
          </w:p>
        </w:tc>
        <w:tc>
          <w:tcPr>
            <w:tcW w:w="2464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200 mg</w:t>
            </w:r>
          </w:p>
        </w:tc>
      </w:tr>
      <w:tr w:rsidR="00456A9B" w:rsidRPr="001156AA" w:rsidTr="00456A9B">
        <w:trPr>
          <w:trHeight w:val="42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Komplike olmayan </w:t>
            </w: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gonokokal</w:t>
            </w:r>
            <w:proofErr w:type="spellEnd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üretrit</w:t>
            </w:r>
            <w:proofErr w:type="spellEnd"/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200 mg</w:t>
            </w:r>
          </w:p>
        </w:tc>
        <w:tc>
          <w:tcPr>
            <w:tcW w:w="2464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Tek doz</w:t>
            </w:r>
          </w:p>
        </w:tc>
      </w:tr>
      <w:tr w:rsidR="00456A9B" w:rsidRPr="001156AA" w:rsidTr="00456A9B">
        <w:trPr>
          <w:trHeight w:val="425"/>
        </w:trPr>
        <w:tc>
          <w:tcPr>
            <w:tcW w:w="4786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A9B" w:rsidRPr="001156AA" w:rsidRDefault="00456A9B" w:rsidP="003A07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 mg</w:t>
            </w:r>
          </w:p>
        </w:tc>
        <w:tc>
          <w:tcPr>
            <w:tcW w:w="2464" w:type="dxa"/>
          </w:tcPr>
          <w:p w:rsidR="00456A9B" w:rsidRPr="001156AA" w:rsidRDefault="00456A9B" w:rsidP="00666E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12 saatte bir 200 mg</w:t>
            </w:r>
          </w:p>
        </w:tc>
      </w:tr>
    </w:tbl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456A9B" w:rsidRPr="001156AA" w:rsidRDefault="00456A9B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Cilt ve yumuşak doku </w:t>
      </w:r>
      <w:proofErr w:type="gram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enfeksiyonları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456A9B" w:rsidRPr="001156AA" w:rsidRDefault="00456A9B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*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Enfeksiyonun şiddetine göre gerekirse doz 12 saatte bir 200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mg'a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kadar a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rtırı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labilir.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Uygulama şekli: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Ağızdan alınır. Film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tablet bir bardak su yardımıyla bütün olarak yutulur. Oral olarak emilimi artırmak için besinlerle birlikte uygulanmalıdır.</w:t>
      </w:r>
    </w:p>
    <w:p w:rsidR="00456A9B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popülasyonlara</w:t>
      </w:r>
      <w:proofErr w:type="gram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ilişkin ek bilgiler: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Böbrek yetmezliği: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klirensi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 ml./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üstündeyse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doz ayarlamasına gerek yoktur. Bu değerden düşük olduğunda aşağıdaki tabloya uygun doz ayarlaması gerekir.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klirensi</w:t>
      </w:r>
      <w:proofErr w:type="spellEnd"/>
    </w:p>
    <w:p w:rsidR="00456A9B" w:rsidRPr="001156AA" w:rsidRDefault="00456A9B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≥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 ml/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dak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  <w:t>12 saatte bir 100 veya 200 mg</w:t>
      </w:r>
    </w:p>
    <w:p w:rsidR="00456A9B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10-39 ml/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dak</w:t>
      </w:r>
      <w:proofErr w:type="spellEnd"/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  <w:t>24 saatte bir 100 veya 200 mg</w:t>
      </w:r>
    </w:p>
    <w:p w:rsidR="00456A9B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&lt; 10 ml/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  <w:t>48 saatte bir 100 veya 200 mg</w:t>
      </w:r>
    </w:p>
    <w:p w:rsidR="00456A9B" w:rsidRPr="001156AA" w:rsidRDefault="00456A9B" w:rsidP="00456A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Hemodiyaliz hastaları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ab/>
        <w:t>her diyalizden sonra 100 veya 200 mg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Böbrek yetmezliği olan çocuklarda;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klirensi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 </w:t>
      </w:r>
      <w:hyperlink r:id="rId8" w:history="1">
        <w:proofErr w:type="gramStart"/>
        <w:r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ml.</w:t>
        </w:r>
        <w:proofErr w:type="spellStart"/>
        <w:r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dak</w:t>
        </w:r>
        <w:proofErr w:type="spellEnd"/>
        <w:proofErr w:type="gramEnd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  <w:vertAlign w:val="superscript"/>
          </w:rPr>
          <w:t>-1</w:t>
        </w:r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/</w:t>
        </w:r>
        <w:r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l.73</w:t>
        </w:r>
      </w:hyperlink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</w:rPr>
        <w:t>2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'nin altındaysa, doz aralığı aşağıdaki şekilde düzenlenmelidir:</w:t>
      </w:r>
    </w:p>
    <w:p w:rsidR="00456A9B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klirensi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10-39 </w:t>
      </w:r>
      <w:hyperlink r:id="rId9" w:history="1">
        <w:proofErr w:type="gramStart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ml.</w:t>
        </w:r>
        <w:proofErr w:type="spellStart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dak</w:t>
        </w:r>
        <w:proofErr w:type="spellEnd"/>
        <w:proofErr w:type="gramEnd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  <w:vertAlign w:val="superscript"/>
          </w:rPr>
          <w:t>-1</w:t>
        </w:r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/l.73</w:t>
        </w:r>
      </w:hyperlink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</w:rPr>
        <w:t>2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=her 24 saatte bir birim doz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klirensi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&lt; 10 </w:t>
      </w:r>
      <w:hyperlink r:id="rId10" w:history="1">
        <w:proofErr w:type="gramStart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ml.</w:t>
        </w:r>
        <w:proofErr w:type="spellStart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dak</w:t>
        </w:r>
        <w:proofErr w:type="spellEnd"/>
        <w:proofErr w:type="gramEnd"/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  <w:vertAlign w:val="superscript"/>
          </w:rPr>
          <w:t>-1</w:t>
        </w:r>
        <w:r w:rsidR="00456A9B" w:rsidRPr="001156AA">
          <w:rPr>
            <w:rFonts w:ascii="Times New Roman" w:eastAsia="TimesNewRoman,Bold" w:hAnsi="Times New Roman" w:cs="Times New Roman"/>
            <w:bCs/>
            <w:sz w:val="24"/>
            <w:szCs w:val="24"/>
          </w:rPr>
          <w:t>/l.73</w:t>
        </w:r>
      </w:hyperlink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</w:rPr>
        <w:t>2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=her 48 saatte bir birim doz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Hemodiyaliz hastala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nda her diyaliz uygulamasının ardından birim doz uygulanır.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Karaciğer yetmezliği: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Karaciğer yetmezliğinde doz ayarlamasına gerek yoktur.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Pediyatrik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popülasyon</w:t>
      </w:r>
      <w:proofErr w:type="gram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SEFTECH'in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çocuklarda kullanılmak üzere üretilen, oral süspansiyon </w:t>
      </w:r>
      <w:r w:rsidR="00EE03B4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hazırlamak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için kuru toz formu bulunmaktadır. Önerilen ortalama doz ikiye bölünmüş halde 8 mg/kg/gündür. 200 mg/gün'ün üstündeki dozlarda tablet kullanılmalıdır. Bu dozun üstünde 100 mg tabletler kullanılabilir.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Geriyatrik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popülasyon</w:t>
      </w:r>
      <w:proofErr w:type="gram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Böbrek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fonksiyonlan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normal olan yaşlılarda, doz ayarlamasına gerek yoktur.</w:t>
      </w:r>
    </w:p>
    <w:p w:rsidR="00456A9B" w:rsidRPr="001156AA" w:rsidRDefault="00456A9B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4.3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</w:t>
      </w:r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 da </w:t>
      </w:r>
      <w:proofErr w:type="spellStart"/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sefalosporinlere</w:t>
      </w:r>
      <w:proofErr w:type="spellEnd"/>
      <w:r w:rsidR="00456A9B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karşı 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duyarlılık.</w:t>
      </w:r>
    </w:p>
    <w:p w:rsidR="00456A9B" w:rsidRPr="001156AA" w:rsidRDefault="00456A9B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4.4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Özel kullanım uyarıları ve önlemleri</w:t>
      </w:r>
    </w:p>
    <w:p w:rsidR="00666E19" w:rsidRPr="001156AA" w:rsidRDefault="00666E19" w:rsidP="00920B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Anafilaktik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reaksiyonlar: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kullanımından önce hastada alerjiye eğilimin, özellikle de 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antibiyotiklere karşı bir 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duyarlığın bulunup bulu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nmadığı araştırılmalıdır. Bir 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duyarlılık reaksiyonu ortaya çıktığı takdirde tedavi kesilmelidir.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Anamnezinde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karşı erken tipte bir 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duyarlılık reaksiyonu öyküsü olan hastalarda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kullanımı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kontrendikedir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666E19" w:rsidRPr="001156AA" w:rsidRDefault="00620BF6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Vakaları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 %5-10'unda penisilinler ve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arasında çapraz alerji bulunduğundan, penisiline duyarlı kişilerde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çok dikkatli kullanılmalıdır; ilk uygulamada yakın bir takip gerekmektedir. Bu iki antibiyotik grubu ile ortaya çıkan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aşırı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duyarlılık reaksiyonla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anafilaksi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) ciddi ve hatta öldürücü olabilir.</w:t>
      </w:r>
    </w:p>
    <w:p w:rsidR="00920BC9" w:rsidRPr="001156AA" w:rsidRDefault="00456A9B" w:rsidP="00920B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Clostridium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dif</w:t>
      </w:r>
      <w:r w:rsidR="00666E19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f</w:t>
      </w:r>
      <w:r w:rsidR="00920BC9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i</w:t>
      </w:r>
      <w:r w:rsidR="00666E19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cile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ile ilişkili hastalıklar (ör: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Psödomembranöz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kolit)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Çeşitli antibiyotiklerle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, özellikle geniş spektrumlularl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 tedavi sırasında veya takip eden ilk haftalarda şiddetli ve inatçı 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diyare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ortaya çıkarsa, bu durum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Clostridium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dif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f</w:t>
      </w:r>
      <w:r w:rsidR="007D4E43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i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cile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ile ilişkili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ağır bir hastalık şekli olan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psödomembranöz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kolitin bir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semptomu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olabilir.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Psödomembranöz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kolitten 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şüphelenilirse,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derhal kesilmeli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ve gecikmeden uygun bir tedaviye başlanmalıdır.</w:t>
      </w:r>
    </w:p>
    <w:p w:rsidR="00666E19" w:rsidRPr="001156AA" w:rsidRDefault="00666E19" w:rsidP="00920B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Böbrek yetmezliği olan hastalarda, günlük doz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kreatinin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klirensine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göre ayarlanmalıdır.</w:t>
      </w:r>
    </w:p>
    <w:p w:rsidR="00666E19" w:rsidRPr="001156AA" w:rsidRDefault="00666E19" w:rsidP="00920BC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İçeriğinde laktoz bulunduğu için, nadir kalıtımsal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galaktoz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intoleransı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laktoz yetmezliği ya 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glukoz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galaktoz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malab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sorpsiyon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problemi olan hastaları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 bu ilacı kullanmamala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gerekir.</w:t>
      </w:r>
    </w:p>
    <w:p w:rsidR="005170EB" w:rsidRPr="001156AA" w:rsidRDefault="005170EB" w:rsidP="005170E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Bu t</w:t>
      </w:r>
      <w:r w:rsidRPr="001156AA">
        <w:rPr>
          <w:rFonts w:ascii="Times New Roman" w:eastAsia="TimesNewRoman,Bold" w:hAnsi="Times New Roman" w:cs="Times New Roman" w:hint="eastAsia"/>
          <w:bCs/>
          <w:sz w:val="24"/>
          <w:szCs w:val="24"/>
        </w:rPr>
        <w:t>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bbi ürün her dozunda 1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mmol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(23 mg)’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dan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daha az sodyum ihtiva eder; bu dozda sodyuma bağlı herhangi bir yan etki beklenmemektedir.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4.5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Diğer tıbbi ürünler ile etkileşim ve diğer etkileşim şekilleri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Klinik olarak anlamlı hiçbir ilaç etkileşimi 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kli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nik çalışmalar sırasında bildirilmemiştir.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Histamin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-H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2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antagonistleri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antasidler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biyoyararla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nımını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azaltır.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Probenesid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atılımını azaltır.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Sefolosporinler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kumarinlerin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antikoagülan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etkisini art</w:t>
      </w:r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ırabilir ve östrojenlerin </w:t>
      </w:r>
      <w:proofErr w:type="spellStart"/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kontra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septif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etkisini azaltabilirler.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ile tedavi sırasında pozitif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Coombs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testi bildirilmiştir.</w:t>
      </w:r>
    </w:p>
    <w:p w:rsidR="00666E19" w:rsidRPr="001156AA" w:rsidRDefault="00920BC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gastrik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pH'ı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nötrolize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eden veya asit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sekresyonlannı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inhibe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eden ilaçlarla bir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li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kte alındığında,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biyoyararlanı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mın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yaklaşık olarak %30 azaldığı görü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lmüştür. Bu sebeple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gastrik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pH'ın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yükselmesine sebep olan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ranitidin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gibi mineral tipi antiasitler ve H2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blokörleri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555A81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'i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alınmasından 2 veya 3 saat sonra alınmalıdır.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Buna karşın,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pentagristin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gibi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gastrik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pH'ı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düşüren ilaçlar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biyoyara</w:t>
      </w:r>
      <w:r w:rsidR="005D6F5E" w:rsidRPr="001156AA">
        <w:rPr>
          <w:rFonts w:ascii="Times New Roman" w:eastAsia="TimesNewRoman,Bold" w:hAnsi="Times New Roman" w:cs="Times New Roman"/>
          <w:bCs/>
          <w:sz w:val="24"/>
          <w:szCs w:val="24"/>
        </w:rPr>
        <w:t>r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lanımı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yükseltecektir. Besinlerle birlikte kullanımı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biyoyararlanımı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nı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artırı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ile tedavi edilen hastalarda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spesifik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redükleyici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ajanlarla yapılan idrar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glukoz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tayinleri yalancı-pozitif reaksiyon verebilir.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D4E43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4.6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 xml:space="preserve">Gebelik ve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laktasyon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Genel tavsiye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Gebelik kategorisi: B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Çocuk doğurma potansiyeli bulunan kadınlar /Doğum kontrolü (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Kontrasepsiyon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)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Hayvanlar üzerinde yapılan çalışmalar, gebelik /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embriyonal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/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fetal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gelişim / doğum ya da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doğum sonrası gelişim ile ilgili olarak doğrudan ya da dolaylı zararlı etkiler olduğunu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göstermemektedir.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Gebe kadınlara verilirken tedbirli olunmalıdır.</w:t>
      </w: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Gebelik dönemi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Çeşitli hayvan türleriyle yapılan çalışmalar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herhangi 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fötotoksik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etkisini göstermemiştir. Ancak, gebelerde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güvenirliği saptanmamış olduğundan gebelik sırasında kullanılmaması önerilmektedir.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Laktasyon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dönemi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anne sütü ile atılmaktadır. </w:t>
      </w:r>
      <w:r w:rsidR="00555A81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tedavi</w:t>
      </w:r>
      <w:r w:rsidR="00E11551" w:rsidRPr="001156AA">
        <w:rPr>
          <w:rFonts w:ascii="Times New Roman" w:eastAsia="TimesNewRoman,Bold" w:hAnsi="Times New Roman" w:cs="Times New Roman"/>
          <w:bCs/>
          <w:sz w:val="24"/>
          <w:szCs w:val="24"/>
        </w:rPr>
        <w:t>si sırasında emzirme durdurulmalı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dır ya da emziren annede </w:t>
      </w:r>
      <w:r w:rsidR="00555A81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tedavisinden kaçınılmalıdır.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Üreme yeteneği /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Fertilite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Sıçanlarda ve tavşanlarda yapılan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araştırmalannda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herhangi 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potansiyel belirtisi ortaya çıkmamıştır.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sıçanlarda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fertilite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ve peri-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postnatal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araştırmalarda istenmeyen bir etki oluşturmamıştır. Sıçanlarda plasentadan geçtiği ve sütte aktif madde veya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metabolitlerinin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görüldüğü saptanmıştır. İnsanlarda gebelikte kullanımı ile ilgili deneyim bulunmamaktadır.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4.7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Araç ve makine kullanımı üzerindeki etkiler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Sersemlik hissi nedeniyle araç ya da makinelerin kullanımı konusunda dikkatli olunmalıdır.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4.8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İstenmeyen etkiler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Advers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ilaç </w:t>
      </w:r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>reaksiyonları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aşağıdaki sıklık derecesine göre belirtilmiştir:</w:t>
      </w:r>
    </w:p>
    <w:p w:rsidR="007D4E43" w:rsidRPr="001156AA" w:rsidRDefault="007D4E43" w:rsidP="007D4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56AA">
        <w:rPr>
          <w:rFonts w:ascii="Times New Roman" w:hAnsi="Times New Roman"/>
          <w:sz w:val="24"/>
          <w:szCs w:val="24"/>
        </w:rPr>
        <w:t>Çok yaygın (≥1/10); yaygın (≥1/100, &lt;1/10); yaygın olmayan (≥1/1000, &lt;1/100); seyrek (≥1/10.000, &lt;1/1000); çok seyrek (&lt;1/10.000), bilinmiyor (eldeki verilerden hareketle tahmin edilemiyor).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Bağışıklık sistemi bozuklukları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Bilinmiyor: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anjiyoödem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bronkospazm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anafilaktik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şok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Deri ve deri altı doku bozuklukları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Yaygın olmayan: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Raş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 ürtiker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Bilinmiyor: Kıza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klık, kaşıntı, ürtiker,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purpura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Diğer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sefalosporinlerle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olduğu gibi, izole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büllöz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erüpsiyon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vakala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eritema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multiforme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Stevens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-Johnson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sendromu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epidermal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nekroliz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) bildirilmiştir.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Gastrointestinal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bozukluklar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Yaygın: Bulantı,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diyare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Yayg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ın olmayan: Kusma, </w:t>
      </w:r>
      <w:proofErr w:type="spellStart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abdominal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ağrı</w:t>
      </w:r>
    </w:p>
    <w:p w:rsidR="00456A9B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Seyrek: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Enterokolit</w:t>
      </w:r>
      <w:proofErr w:type="spellEnd"/>
    </w:p>
    <w:p w:rsidR="00666E19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Bili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nmiyor: Bütün diğer geniş spektrumlu antibiyotiklerde olduğu gibi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diyare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enterokolit'in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bir 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semptomu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olabilir ve bazen bu durumda dışkıda kan görülebilir. Antibiyotik kullanımında görülen tipik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enterokolit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psödomembranöz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kolittir (Bkz. bölüm 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4.4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).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Hepato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-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biliyer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bozukluklar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Yayg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ın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olmayan: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Aspartat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aminotransferaz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artışı,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Alanin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transferaz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artışı, kan alkalin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fosfataz</w:t>
      </w:r>
      <w:proofErr w:type="spellEnd"/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artışı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Seyrek: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Hiperbilirubinemi</w:t>
      </w:r>
      <w:proofErr w:type="spellEnd"/>
    </w:p>
    <w:p w:rsidR="00666E19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Bu anormal laboratuar bulguları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enfeksiyonlar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nedeni ile de oluşabilir, normal üst sınır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limitinin 2 katını nadiren aşabilir. Genellikle,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kolestatik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veya daha sık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asemptomatik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olarak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görülen karaciğer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harabiyeti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tablosunu sergiler.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Kan ve lenfatik sistem bozuklukları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Seyrek: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Eozinofili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trombositopeni</w:t>
      </w:r>
      <w:proofErr w:type="spellEnd"/>
    </w:p>
    <w:p w:rsidR="00920BC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Bilinmiyor: </w:t>
      </w:r>
      <w:proofErr w:type="spellStart"/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Nötropeni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agranülositoz</w:t>
      </w:r>
      <w:proofErr w:type="spellEnd"/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 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hemolitik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anemi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Bu nadir olaylar tedavi kesilince</w:t>
      </w:r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normale döner.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Böbrek ve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üriner</w:t>
      </w:r>
      <w:proofErr w:type="spell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bozukluklar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de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dahil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olduğu antibiyotik grubu ile, özellikle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aminoglikozidler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ve/veya güçlü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diüretiklerle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birhkte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kullanıldıklannda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 böbrek fonksiyon değişiklikleri gözlenmiştir.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Sinir sistemi bozuklukları</w:t>
      </w:r>
    </w:p>
    <w:p w:rsidR="007D4E43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Yayg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ın olmayan: Baş ağrı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sı, sersemlik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Seyrek: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Parestezi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Kulak ve </w:t>
      </w:r>
      <w:proofErr w:type="gram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labirent</w:t>
      </w:r>
      <w:proofErr w:type="gramEnd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bozuklukları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Bilinmiyor: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Tinnitus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Genel bozukluklar ve uygulama yeri bozukları</w:t>
      </w:r>
    </w:p>
    <w:p w:rsidR="007D4E43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Yaygın olmayan: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Asteni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Seyrek: Keyifsizlik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Enfeksiyonlar ve </w:t>
      </w:r>
      <w:proofErr w:type="spellStart"/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enfestasyonlar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Yayg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ın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Süperenfeksiyon</w:t>
      </w:r>
      <w:proofErr w:type="spellEnd"/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Bilinmiyor: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Psödomembaronöz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kol</w:t>
      </w:r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>it, duyarlı olmayan organizmaları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 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büyümesi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Diğer antibiyotiklerle olduğu gibi,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kullanımı, özellikle uzun süreli ise,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duyarlı olmayan mikroorganizmala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 </w:t>
      </w:r>
      <w:r w:rsidR="00620BF6" w:rsidRPr="001156AA">
        <w:rPr>
          <w:rFonts w:ascii="Times New Roman" w:eastAsia="TimesNewRoman,Bold" w:hAnsi="Times New Roman" w:cs="Times New Roman"/>
          <w:bCs/>
          <w:sz w:val="24"/>
          <w:szCs w:val="24"/>
        </w:rPr>
        <w:t>aşırı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üremesine yol açabilir. Hastanın durumunun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tekrar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tekrar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değerlendirilmesi gerekir. Tedavi sırasında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süperenfeksiyon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ortaya çıkarsa,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uygun önlemler 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lınmalı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dır.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4A630D" w:rsidRPr="001156AA" w:rsidRDefault="004A630D" w:rsidP="004A630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1156AA">
        <w:rPr>
          <w:rFonts w:ascii="Times New Roman" w:hAnsi="Times New Roman" w:hint="eastAsia"/>
          <w:sz w:val="24"/>
          <w:szCs w:val="24"/>
          <w:u w:val="single"/>
          <w:lang w:eastAsia="nl-NL"/>
        </w:rPr>
        <w:lastRenderedPageBreak/>
        <w:t>Ş</w:t>
      </w:r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1156AA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1156AA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4A630D" w:rsidRPr="001156AA" w:rsidRDefault="004A630D" w:rsidP="004A630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1156AA">
        <w:rPr>
          <w:rFonts w:ascii="Times New Roman" w:hAnsi="Times New Roman"/>
          <w:sz w:val="24"/>
          <w:szCs w:val="24"/>
          <w:lang w:eastAsia="nl-NL"/>
        </w:rPr>
        <w:t>Ruhsatland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rma sonras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1156AA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1156AA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n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n raporlanmas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1156AA">
        <w:rPr>
          <w:rFonts w:ascii="Times New Roman" w:hAnsi="Times New Roman"/>
          <w:sz w:val="24"/>
          <w:szCs w:val="24"/>
          <w:lang w:eastAsia="nl-NL"/>
        </w:rPr>
        <w:t>maktad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lmas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, ilac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156AA">
        <w:rPr>
          <w:rFonts w:ascii="Times New Roman" w:hAnsi="Times New Roman"/>
          <w:sz w:val="24"/>
          <w:szCs w:val="24"/>
          <w:lang w:eastAsia="nl-NL"/>
        </w:rPr>
        <w:t>lar. Sa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156AA">
        <w:rPr>
          <w:rFonts w:ascii="Times New Roman" w:hAnsi="Times New Roman"/>
          <w:sz w:val="24"/>
          <w:szCs w:val="24"/>
          <w:lang w:eastAsia="nl-NL"/>
        </w:rPr>
        <w:t>l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k mesle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156AA">
        <w:rPr>
          <w:rFonts w:ascii="Times New Roman" w:hAnsi="Times New Roman"/>
          <w:sz w:val="24"/>
          <w:szCs w:val="24"/>
          <w:lang w:eastAsia="nl-NL"/>
        </w:rPr>
        <w:t>i mensuplar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>n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1156AA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1156AA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1156AA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1156AA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1156AA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1156AA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1156AA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1156AA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3F138F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4.9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="00666E19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Doz aşımı ve tedavisi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Spesifik bir antidotu bulunmadığından doz aşımı durumunda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semptomatik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tedavi 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uygulanmalı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dır. Bazı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sefalosporinlerde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esas olarak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enjektabl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olanlarda, özellikle böbrek yetmezliği olan hastalarda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dozaşımında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reversibl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ensefalopati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riski bildirilmiştir.</w:t>
      </w:r>
    </w:p>
    <w:p w:rsidR="007D4E43" w:rsidRPr="001156AA" w:rsidRDefault="007D4E43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7D4E43" w:rsidRPr="001156AA" w:rsidRDefault="003F138F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5.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="00666E19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FARMAKOLOJİK ÖZELLİKLER </w:t>
      </w:r>
    </w:p>
    <w:p w:rsidR="00666E19" w:rsidRPr="001156AA" w:rsidRDefault="003F138F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5.1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="00666E19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Farmakodinamik özellikler</w:t>
      </w:r>
    </w:p>
    <w:p w:rsidR="007D4E43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Farmakoterapötik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grup: Üçüncü kuşak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sefalosporinler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ATC Kodu: J01D</w:t>
      </w:r>
      <w:r w:rsidR="004E10BE" w:rsidRPr="001156AA">
        <w:rPr>
          <w:rFonts w:ascii="Times New Roman" w:eastAsia="TimesNewRoman,Bold" w:hAnsi="Times New Roman" w:cs="Times New Roman"/>
          <w:bCs/>
          <w:sz w:val="24"/>
          <w:szCs w:val="24"/>
        </w:rPr>
        <w:t>D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13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oral olarak uygulanan geniş spektrumlu, ya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-sentetik üçüncü kuşak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sınıfı bir antibiyotiktir.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prodrug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olup aktif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metaboliti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sefpodoksimdir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birçok gram (+) ve gram (-) bakteriye karşı 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in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vitro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etkilidir.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hücre duva</w:t>
      </w:r>
      <w:r w:rsidR="007D4E43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sentezinin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inhibisyonu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yoluyla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bakterisid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 gösterir; 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laktamazlara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karşı oldukça dayanıklıdır.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Aşağıdaki mikroorganizmalar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karşı genellikle duyarlıdır: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i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Streptococcus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pneumoniae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Streptococcus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(S.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pneumoniae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dışında),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Propionibacterium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acnes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Corynebacterium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diphteriae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Haemophilus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influenzae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(beta-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oluşturan ve oluşturmayan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suşlar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),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Haemophilus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parainfluenzae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(beta-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oluşturan ve oluşturmayan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suşlar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),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Mor</w:t>
      </w:r>
      <w:r w:rsidR="00967951"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axella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Branhamella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catarrhalis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(beta-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oluşturan ve oluşturmayan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suşlar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),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Neisseria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meningitidis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Neisseria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gonorrhoeae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(beta-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laktamaz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oluşturan ve oluşturmayan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suşlar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)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Escherichia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coli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Klebsiella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pneumoniae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Klebsiella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oxytoca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Proteus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mirabilis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Proteus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vulgaris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Citrobacter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diversus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Salmonella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.,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Providencia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Shigella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.,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Pasteurella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multocida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Fusobacterium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.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Aşağıdaki bakteriler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orta derecede duyarlıdır: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Metisiline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duyarlı stafilokoklar,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Yersinia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enterocolitica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Aeromonas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hydrophila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Aşağıdaki bakteriler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dirençlidir:</w:t>
      </w:r>
    </w:p>
    <w:p w:rsidR="00920BC9" w:rsidRPr="001156AA" w:rsidRDefault="00920BC9" w:rsidP="00920B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lastRenderedPageBreak/>
        <w:t>Enterobacter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.,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Morganella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morganii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Serratia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marcescens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Citrobacter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freundii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,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Acinetobacter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Peptostreptokok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Enterokoklar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metisiline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dirençli stafilokoklar, JK grubu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Corynebacteria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,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Listeria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monocytogenes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,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Pseudomonas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.,</w:t>
      </w:r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Acinetobacter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Clostridium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spp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.,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Bacleroides</w:t>
      </w:r>
      <w:proofErr w:type="spellEnd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i/>
          <w:sz w:val="24"/>
          <w:szCs w:val="24"/>
        </w:rPr>
        <w:t>fragilis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benzer türler</w:t>
      </w: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3F138F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5.2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proofErr w:type="spellStart"/>
      <w:r w:rsidR="00666E19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Farmakokinetik</w:t>
      </w:r>
      <w:proofErr w:type="spellEnd"/>
      <w:r w:rsidR="00666E19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özellikler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Emilim: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Oral uygulamayı takiben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gastrointestinal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kanaldan emilir. Besinler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emilimini artırdığından, yemekler sırasında alınması önerilir.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Biyotransformasyon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:</w:t>
      </w:r>
    </w:p>
    <w:p w:rsidR="003F138F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Nonspesifik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esterazlar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tarafından hızla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bakterisid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etkili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hidrolize olur.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Dağılım: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>00 mg ve 200 mg doz uygulamaları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için ortalama maksimum plazma konsantrasyonla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rı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(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C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) sırasıyla 1-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1.2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mg/1 ve 2.2-2.5 mg/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l'dir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Pik plazma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konsantrasyonuna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</w:t>
      </w:r>
      <w:proofErr w:type="spellStart"/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>T</w:t>
      </w:r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="00920BC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)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2-3 saatte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ulaşılır. 100 mg ve 200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mg'ın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oral uygulamasından 12 saat sonraki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rezidüel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konsantrasyonlar</w:t>
      </w:r>
      <w:proofErr w:type="gramEnd"/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sırasıyla 0.08 mg/ml ve 0.18 mg/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l'dir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Günde 2 defa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14.5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gün süre ile 100 ve 200 mg tabletler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kullanıldığında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plazma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farmakokinetik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parametreleri değişmemiş olarak kalır.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Bu durum etkin maddenin birikim yapmadığını gösterir.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plazma proteinlerine % 21-29 oranında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bağlanır. Doku ve vücut sıvıları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nda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dağılımı: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Zaman eğrisi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konsantrasyonla</w:t>
      </w:r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proofErr w:type="gramEnd"/>
      <w:r w:rsidR="003F138F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bazı hassas mikro-organizmaları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 MIC değerlerini aşar.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Tonsill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erdeki</w:t>
      </w:r>
      <w:proofErr w:type="spellEnd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yaklaşık konsantrasyonları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100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mg'lık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tek doz alımından 4 saat sonra yaklaşık 0.24 mg/g olup 7 saat sonra yaklaşık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0.1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g'a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düşer. 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lık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tek doz alımından sonra barsak sıvı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konsantrasyonu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plazma konsantrasyonunun % 80'dir.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kullanımında 3-12 saat sonra akciğer doku konsantrasyo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nu </w:t>
      </w:r>
      <w:proofErr w:type="gramStart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0.6</w:t>
      </w:r>
      <w:proofErr w:type="gramEnd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g/g ve 0.2 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g/g arasında değişir. Plevra sıvı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konsantrasyonlan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ise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0.6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-0.8 mg/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l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arası değişir.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kullanımından 1-4 saat sonra bronş mukozası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konsantrasyonu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yaklaşık 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1 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g'dır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(Plazma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konsantrasyonun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% 40-45'i)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doz alımından 3-12 saat sonra ortalama böbrek doku konsantrasyonu </w:t>
      </w:r>
      <w:proofErr w:type="gramStart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0.6</w:t>
      </w:r>
      <w:proofErr w:type="gramEnd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µg/g-3.1 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g/g arası değişmektedir.</w:t>
      </w:r>
    </w:p>
    <w:p w:rsidR="00666E19" w:rsidRPr="001156AA" w:rsidRDefault="00666E19" w:rsidP="003A0788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200 mg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doz alımından 3-6 saat sonra ortalama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prostatik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doku konsantrasyonu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0.6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g/g-0.2 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µ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g/g arası değişmektedir.</w:t>
      </w:r>
    </w:p>
    <w:p w:rsidR="004A630D" w:rsidRPr="001156AA" w:rsidRDefault="004A630D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4A630D" w:rsidRPr="001156AA" w:rsidRDefault="004A630D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>Eliminasyon:</w:t>
      </w:r>
    </w:p>
    <w:p w:rsidR="00666E19" w:rsidRPr="001156AA" w:rsidRDefault="003A0788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Eli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minasyon ya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lanma ömrü ortalama </w:t>
      </w:r>
      <w:proofErr w:type="gram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2.4</w:t>
      </w:r>
      <w:proofErr w:type="gram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saattir.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proksetilin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emilimini takiben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salınan </w:t>
      </w:r>
      <w:proofErr w:type="spellStart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%80'ı değişmemiş olarak idrarla atılır.</w:t>
      </w:r>
    </w:p>
    <w:p w:rsidR="0040602E" w:rsidRPr="001156AA" w:rsidRDefault="0040602E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5.3</w:t>
      </w:r>
      <w:r w:rsidR="00545921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  <w:r w:rsidR="003A0788"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Klinik öncesi güvenlilik verileri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rölatif olarak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göstermeyen bir bileşiktir. Yürütülen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lışmaları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nda, insanda oral antibiyotik olarak kullanımını kısıtlayacak hiçbir bulguya rastlanmamıştır.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Akut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(oral uygulama)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LD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50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, farelerde 8 g/</w:t>
      </w:r>
      <w:proofErr w:type="spellStart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kg'ın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sıçanlarda 4 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kg'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ın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üzerinde bulunmuştur.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Fisher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nda, 1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g/kg ve daha yüksek dozlardan sonra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feçes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kıvamında ve vücut ağırlığında geçici istenmeyen etkiler ortaya çıkmıştır. Köpeklerde 800 mg/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kg'lık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tek dozun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olmadığı gösterilmiştir.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Kronik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(oral uygulama)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Kronik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sıçanlarda 12 ay ve köpeklerde 6 ay süreyle gerçekleştirilmiştir. Maksima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 günlük dozlar, </w:t>
      </w:r>
      <w:proofErr w:type="spellStart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Wistar</w:t>
      </w:r>
      <w:proofErr w:type="spellEnd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1000 mg/kg ve köpeklerde 400 mg/kg, yani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terapötik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dozun (3-6 mg/kg) çok üzerinde olmuştur.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Wistar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na 12 ay boyunca oral yolla verilen 250, 500 ve 1000 mg/kg ile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mortali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te</w:t>
      </w:r>
      <w:proofErr w:type="spellEnd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görülmemiştir. Sadece 1000 </w:t>
      </w:r>
      <w:r w:rsidR="00EE03B4" w:rsidRPr="001156AA">
        <w:rPr>
          <w:rFonts w:ascii="Times New Roman" w:eastAsia="TimesNewRoman,Bold" w:hAnsi="Times New Roman" w:cs="Times New Roman"/>
          <w:bCs/>
          <w:sz w:val="24"/>
          <w:szCs w:val="24"/>
        </w:rPr>
        <w:t>m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g/</w:t>
      </w:r>
      <w:proofErr w:type="spellStart"/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kg'ın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üzerindeki bir dozla istenmeyen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gastrointestinal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etkiler gözlenmiştir; bunlar başlıca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feçesin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yumuşaklaşması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çekumda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dilatasyondur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Fisher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daha belirgin olan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intestinal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yan etkiler,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antibakteriyel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etkisinin ve bunun sonucu ortaya çıkan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intestinal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flora değişikliklerinin sonucunda oluşmuştur. Köpeklerde 6 ay süreyle oral yolla günde 0, 25, 100 ve 400 mg/kg kullanılması ile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mortalite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görülmemiştir. Değişime uğramamış madde sadece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feçeste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saptanmıştır.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Üreme toksikolojisi: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Sıçanlarda ve tavşanlarda yapılan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embriyotoksisite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herhangi 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potansiyel belirtisi ortaya çıkmamıştır.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sıçanlarda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fertilite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ve peri-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postnatal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araştırmalarda istenmeyen bir etki oluşturmamıştır. Sıçanlarda plasentadan geçtiği ve sütte aktif madde veya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metabolitlerinin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görüldüğü saptanmıştır. İnsanlarda gebelikte kullanımı ile ilgili deneyim bulunmamaktadır.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Mutajenite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Çeşitli sistemlerdeki kapsamlı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mutajenite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araştırmala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negatif sonuçlar vermiştir.</w:t>
      </w:r>
    </w:p>
    <w:p w:rsidR="00666E19" w:rsidRPr="001156AA" w:rsidRDefault="003A0788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Kanserojeni</w:t>
      </w:r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te</w:t>
      </w:r>
      <w:proofErr w:type="spellEnd"/>
      <w:r w:rsidR="00666E19"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Kanserojenik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potansiyel araştırmala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bildirilmemiştir.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Tüm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Preklinik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Toksikolojik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-Farmakolojik) çalışma verilerini kapsayan ve büyükler için sunulmuş olan geniş dosya bilgileri arasından, çocuklara uygulama ile ilgili olan bölümler aşağıda özetlenmiştir:</w:t>
      </w: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Akut ve tekrarlayan doz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toksisitesi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tbl>
      <w:tblPr>
        <w:tblW w:w="92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5"/>
        <w:gridCol w:w="2254"/>
        <w:gridCol w:w="5345"/>
      </w:tblGrid>
      <w:tr w:rsidR="00666E19" w:rsidRPr="001156AA" w:rsidTr="003A0788">
        <w:trPr>
          <w:trHeight w:hRule="exact" w:val="413"/>
        </w:trPr>
        <w:tc>
          <w:tcPr>
            <w:tcW w:w="16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Süre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Türler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Yaş                         </w:t>
            </w:r>
            <w:r w:rsidR="003A0788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Doz (mg/kg p.o)</w:t>
            </w:r>
          </w:p>
        </w:tc>
      </w:tr>
      <w:tr w:rsidR="00666E19" w:rsidRPr="001156AA" w:rsidTr="003A0788">
        <w:trPr>
          <w:trHeight w:hRule="exact" w:val="383"/>
        </w:trPr>
        <w:tc>
          <w:tcPr>
            <w:tcW w:w="16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gram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akut</w:t>
            </w:r>
            <w:proofErr w:type="gramEnd"/>
          </w:p>
        </w:tc>
        <w:tc>
          <w:tcPr>
            <w:tcW w:w="22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rat</w:t>
            </w:r>
            <w:proofErr w:type="spellEnd"/>
          </w:p>
        </w:tc>
        <w:tc>
          <w:tcPr>
            <w:tcW w:w="534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4, 7, 14 veya 23 gün   </w:t>
            </w:r>
            <w:r w:rsidR="003A0788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666E19" w:rsidRPr="001156AA" w:rsidTr="003A0788">
        <w:trPr>
          <w:trHeight w:hRule="exact" w:val="37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28 gün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spell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rat</w:t>
            </w:r>
            <w:proofErr w:type="spellEnd"/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 hafta                     </w:t>
            </w:r>
            <w:r w:rsidR="003A0788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60, 250, 1000</w:t>
            </w:r>
          </w:p>
        </w:tc>
      </w:tr>
      <w:tr w:rsidR="00666E19" w:rsidRPr="001156AA" w:rsidTr="003A0788">
        <w:trPr>
          <w:trHeight w:hRule="exact" w:val="383"/>
        </w:trPr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28 gün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gram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köpek</w:t>
            </w:r>
            <w:proofErr w:type="gramEnd"/>
          </w:p>
        </w:tc>
        <w:tc>
          <w:tcPr>
            <w:tcW w:w="53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 hafta                     </w:t>
            </w:r>
            <w:r w:rsidR="003A0788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100, 200</w:t>
            </w:r>
          </w:p>
        </w:tc>
      </w:tr>
      <w:tr w:rsidR="00666E19" w:rsidRPr="001156AA" w:rsidTr="003A0788">
        <w:trPr>
          <w:trHeight w:hRule="exact" w:val="391"/>
        </w:trPr>
        <w:tc>
          <w:tcPr>
            <w:tcW w:w="16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28 gün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proofErr w:type="gramStart"/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köpek</w:t>
            </w:r>
            <w:proofErr w:type="gramEnd"/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666E19" w:rsidRPr="001156AA" w:rsidRDefault="00666E19" w:rsidP="00666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 hafta                     </w:t>
            </w:r>
            <w:r w:rsidR="003A0788"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1156A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Akut çalışmada uygulamaya karşı hiçbir reaksiyon görülmemiştir. Sıçanlarda tekrarlanan doz 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çalışmaları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nda büyüklerdekine benzer bulgulara (üst dozda, minör hematolojik ve klinik kimya değişikliği ile birlikte karaciğer ağırlığında azalma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çekumda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genişleme) rastlanmıştır. Köpeklerde, büyük hayvanlarla yapılan çalışmalardan elde edilen verilerde de olduğu gibi 400 mg/kg/gün doz uygulanan hayvanda görülen karaciğer değişikliğinin dışında, 1 hayvanda hafif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hipertrofi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gözlenmiştir. Bu glikojen birikimine bağlı olarak ortaya çıkmaktadır ve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dejenerasyon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gözlenmez. Bütün bu değişikliklerin hafif olduğu yorumuna varılmıştır.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Çoğalma ça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lı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şmala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500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mg/kg/gün p.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o'a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kadar olan dozlar kullanılmıştır, ancak tavşanla</w:t>
      </w:r>
      <w:r w:rsidR="003A0788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 barsak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florasında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sefalosporin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uygulamasından sonra oluşan değişiklikler nedeniyle bu tür için, özel protokol uyarlanmıştır. Bu türlerde olası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etkileri araştırmayı mümkün kılmak iç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in 10 ve 30 mg/kg/gün dozlar ayrı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hayvan grupla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na 3 günlük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periyotlarla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uygulanmıştır (6-8, 9-11, 12-14 ve 15-17. günlerde). Bu çalışmala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 hiçbirinde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advers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etkiye rastlanmamıştır. Bu veriyi desteklemek üzere, olası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 için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ek bir çalı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şma farelerle yürütülmüştür. 40, 200 ve 1000 mg/kg/gün p.o. dozlar, hamileliğin 6-15. günlerinde uygulanmış, hiçbir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maternotoksik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embriyotoksik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veya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teratojenik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etkiye rastlanmamıştır.</w:t>
      </w:r>
    </w:p>
    <w:p w:rsidR="00666E19" w:rsidRPr="001156AA" w:rsidRDefault="00666E19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Sonuç olarak,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</w:t>
      </w:r>
      <w:r w:rsidR="0040602E" w:rsidRPr="001156AA">
        <w:rPr>
          <w:rFonts w:ascii="Times New Roman" w:eastAsia="TimesNewRoman,Bold" w:hAnsi="Times New Roman" w:cs="Times New Roman"/>
          <w:bCs/>
          <w:sz w:val="24"/>
          <w:szCs w:val="24"/>
        </w:rPr>
        <w:t>podoksim</w:t>
      </w:r>
      <w:proofErr w:type="spellEnd"/>
      <w:r w:rsidR="0040602E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="0040602E" w:rsidRPr="001156AA">
        <w:rPr>
          <w:rFonts w:ascii="Times New Roman" w:eastAsia="TimesNewRoman,Bold" w:hAnsi="Times New Roman" w:cs="Times New Roman"/>
          <w:bCs/>
          <w:sz w:val="24"/>
          <w:szCs w:val="24"/>
        </w:rPr>
        <w:t>proksetil</w:t>
      </w:r>
      <w:proofErr w:type="spellEnd"/>
      <w:r w:rsidR="0040602E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pek çok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40602E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çalışma ile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küçük (ç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ocuk) sıçan ve köpeklerde ve ayrı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ca çoğalma üzerine etkisi bakımından da incelenmiştir. Hiçbir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advers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etkiye rastlanmamıştır ve sonu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çlar </w:t>
      </w:r>
      <w:proofErr w:type="spellStart"/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sefpodoksimin</w:t>
      </w:r>
      <w:proofErr w:type="spellEnd"/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çocuklarda kli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nik kullanımını onaylamaktadır.</w:t>
      </w:r>
    </w:p>
    <w:p w:rsidR="003F0FF7" w:rsidRPr="001156AA" w:rsidRDefault="003F0FF7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E7C2C" w:rsidRPr="001156AA" w:rsidRDefault="003E7C2C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4A630D" w:rsidRPr="001156AA" w:rsidRDefault="004A630D" w:rsidP="00666E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6.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FARMASÖTİK ÖZELLİKLER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6.1.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Yardımcı maddelerin listesi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Karboksimetilselüloz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Kalsiyum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Çapraz Bağlı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Karboksimetilselüloz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Sodyum 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Sodyum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Lauril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Sülfat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Hidroksipropilselüloz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</w:p>
    <w:p w:rsidR="00FC6ACE" w:rsidRPr="001156AA" w:rsidRDefault="00FC6ACE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Laktoz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monohidrat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Magnezyum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Stearat</w:t>
      </w:r>
      <w:proofErr w:type="spellEnd"/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Opadry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Beyaz Y-1-7000</w:t>
      </w:r>
      <w:r w:rsidR="0084313E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</w:t>
      </w:r>
      <w:proofErr w:type="spellStart"/>
      <w:r w:rsidR="0084313E" w:rsidRPr="001156AA">
        <w:rPr>
          <w:rFonts w:ascii="Times New Roman" w:eastAsia="TimesNewRoman,Bold" w:hAnsi="Times New Roman" w:cs="Times New Roman"/>
          <w:bCs/>
          <w:sz w:val="24"/>
          <w:szCs w:val="24"/>
        </w:rPr>
        <w:t>hipromelloz</w:t>
      </w:r>
      <w:proofErr w:type="spellEnd"/>
      <w:r w:rsidR="0084313E" w:rsidRPr="001156AA">
        <w:rPr>
          <w:rFonts w:ascii="Times New Roman" w:eastAsia="TimesNewRoman,Bold" w:hAnsi="Times New Roman" w:cs="Times New Roman"/>
          <w:bCs/>
          <w:sz w:val="24"/>
          <w:szCs w:val="24"/>
        </w:rPr>
        <w:t>, titanyum dioksit, polietilen glikol)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6.2.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Geçimsizlikler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Bilinen bir geçimsizlik yoktur.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6.3.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Raf ömrü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24 ay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6.4.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Saklamaya yönelik özel tedbirler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25°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C'nin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altındaki oda sıcaklığında, kuru yerde ve ambalajında saklayınız.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6.5.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Ambalajın niteliği ve içeriği</w:t>
      </w:r>
    </w:p>
    <w:p w:rsidR="003F0FF7" w:rsidRPr="001156AA" w:rsidRDefault="00555A81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SEFTECH</w:t>
      </w:r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200 mg, 15 ve 20 film tablet şeklinde, alüminyum - alüminyum </w:t>
      </w:r>
      <w:proofErr w:type="spellStart"/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>blister</w:t>
      </w:r>
      <w:proofErr w:type="spellEnd"/>
      <w:r w:rsidR="003F0FF7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içerisinde ambalajlanmıştır.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6.6.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Beşeri tıbbi üründen arta kalan maddelerin imhası ve diğer özel önlemler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Kullanılmamış olan ürünler ya da atık materyaller "Tıbbi Atıkların Kontrolü Yönetmeliği" ve "Ambalaj </w:t>
      </w:r>
      <w:r w:rsidR="00EE03B4"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ve Ambalaj </w:t>
      </w: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Atıklarının Kontrolü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Yönetmelik"lerine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uygun olarak imha edilmelidir.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7.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RUHSAT SAHİBİ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Deva Holding A.Ş.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Halkalı Merkez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Mah.Basın</w:t>
      </w:r>
      <w:proofErr w:type="spell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Ekspres Cad.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No: </w:t>
      </w:r>
      <w:proofErr w:type="gram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1  34303</w:t>
      </w:r>
      <w:proofErr w:type="gramEnd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Küçükçekmece – İstanbul 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 xml:space="preserve">Tel: 0 212 692 92 </w:t>
      </w:r>
      <w:proofErr w:type="spellStart"/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92</w:t>
      </w:r>
      <w:proofErr w:type="spellEnd"/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E7C2C" w:rsidRPr="001156AA" w:rsidRDefault="003E7C2C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E7C2C" w:rsidRPr="001156AA" w:rsidRDefault="003E7C2C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8.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RUHSAT NUMARASI</w:t>
      </w:r>
    </w:p>
    <w:p w:rsidR="003F0FF7" w:rsidRPr="001156AA" w:rsidRDefault="007F473B" w:rsidP="008F4D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241/79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9.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İLK RUHSAT TARİHİ/RUHSAT YENİLEME TARİHİ</w:t>
      </w:r>
    </w:p>
    <w:p w:rsidR="003F0FF7" w:rsidRPr="001156AA" w:rsidRDefault="00D32C5B" w:rsidP="008F4D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Cs/>
          <w:sz w:val="24"/>
          <w:szCs w:val="24"/>
        </w:rPr>
        <w:t>20</w:t>
      </w:r>
      <w:r w:rsidR="008F4DE2" w:rsidRPr="001156AA">
        <w:rPr>
          <w:rFonts w:ascii="Times New Roman" w:eastAsia="TimesNewRoman,Bold" w:hAnsi="Times New Roman" w:cs="Times New Roman"/>
          <w:bCs/>
          <w:sz w:val="24"/>
          <w:szCs w:val="24"/>
        </w:rPr>
        <w:t>.04.2012</w:t>
      </w:r>
    </w:p>
    <w:p w:rsidR="003F0FF7" w:rsidRPr="001156AA" w:rsidRDefault="003F0FF7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>10.</w:t>
      </w:r>
      <w:r w:rsidRPr="001156AA">
        <w:rPr>
          <w:rFonts w:ascii="Times New Roman" w:eastAsia="TimesNewRoman,Bold" w:hAnsi="Times New Roman" w:cs="Times New Roman"/>
          <w:b/>
          <w:bCs/>
          <w:sz w:val="24"/>
          <w:szCs w:val="24"/>
        </w:rPr>
        <w:tab/>
        <w:t>KÜB'ÜN YENİLENME TARİHİ</w:t>
      </w:r>
    </w:p>
    <w:p w:rsidR="00B8431B" w:rsidRPr="001156AA" w:rsidRDefault="00B8431B" w:rsidP="003F0F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sectPr w:rsidR="00B8431B" w:rsidRPr="001156AA" w:rsidSect="009048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2C" w:rsidRDefault="00BF622C" w:rsidP="004304F1">
      <w:pPr>
        <w:spacing w:after="0" w:line="240" w:lineRule="auto"/>
      </w:pPr>
      <w:r>
        <w:separator/>
      </w:r>
    </w:p>
  </w:endnote>
  <w:endnote w:type="continuationSeparator" w:id="0">
    <w:p w:rsidR="00BF622C" w:rsidRDefault="00BF622C" w:rsidP="004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0740"/>
      <w:docPartObj>
        <w:docPartGallery w:val="Page Numbers (Bottom of Page)"/>
        <w:docPartUnique/>
      </w:docPartObj>
    </w:sdtPr>
    <w:sdtContent>
      <w:p w:rsidR="003A0788" w:rsidRDefault="005632A8" w:rsidP="00EE03B4">
        <w:pPr>
          <w:pStyle w:val="Altbilgi"/>
          <w:jc w:val="right"/>
        </w:pPr>
        <w:r w:rsidRPr="00623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788" w:rsidRPr="006235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3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6A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2358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B5D92">
          <w:rPr>
            <w:rFonts w:ascii="Times New Roman" w:hAnsi="Times New Roman" w:cs="Times New Roman"/>
            <w:sz w:val="24"/>
            <w:szCs w:val="24"/>
          </w:rPr>
          <w:t>/12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2C" w:rsidRDefault="00BF622C" w:rsidP="004304F1">
      <w:pPr>
        <w:spacing w:after="0" w:line="240" w:lineRule="auto"/>
      </w:pPr>
      <w:r>
        <w:separator/>
      </w:r>
    </w:p>
  </w:footnote>
  <w:footnote w:type="continuationSeparator" w:id="0">
    <w:p w:rsidR="00BF622C" w:rsidRDefault="00BF622C" w:rsidP="0043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CC3BA"/>
    <w:lvl w:ilvl="0">
      <w:numFmt w:val="bullet"/>
      <w:lvlText w:val="*"/>
      <w:lvlJc w:val="left"/>
    </w:lvl>
  </w:abstractNum>
  <w:abstractNum w:abstractNumId="1">
    <w:nsid w:val="0E9C29E6"/>
    <w:multiLevelType w:val="hybridMultilevel"/>
    <w:tmpl w:val="373A2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95F"/>
    <w:multiLevelType w:val="hybridMultilevel"/>
    <w:tmpl w:val="22581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15D1"/>
    <w:multiLevelType w:val="hybridMultilevel"/>
    <w:tmpl w:val="046054EA"/>
    <w:lvl w:ilvl="0" w:tplc="1DB4F9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5860"/>
    <w:multiLevelType w:val="hybridMultilevel"/>
    <w:tmpl w:val="4AA4E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6F19"/>
    <w:multiLevelType w:val="hybridMultilevel"/>
    <w:tmpl w:val="9D74DE7C"/>
    <w:lvl w:ilvl="0" w:tplc="1DB4F9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Verdana" w:hAnsi="Verdana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Verdana" w:hAnsi="Verdan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Verdana" w:hAnsi="Verdan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Verdana" w:hAnsi="Verdana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Verdana" w:hAnsi="Verdana" w:hint="default"/>
        </w:rPr>
      </w:lvl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5D"/>
    <w:rsid w:val="00000BF1"/>
    <w:rsid w:val="000375C0"/>
    <w:rsid w:val="00042EC0"/>
    <w:rsid w:val="00052D1A"/>
    <w:rsid w:val="0007485D"/>
    <w:rsid w:val="00076C79"/>
    <w:rsid w:val="00084D10"/>
    <w:rsid w:val="000935F7"/>
    <w:rsid w:val="00093B21"/>
    <w:rsid w:val="00097162"/>
    <w:rsid w:val="000A6DE4"/>
    <w:rsid w:val="000C7524"/>
    <w:rsid w:val="000E0C8A"/>
    <w:rsid w:val="000F138D"/>
    <w:rsid w:val="001156AA"/>
    <w:rsid w:val="00115BDB"/>
    <w:rsid w:val="00151E25"/>
    <w:rsid w:val="00153C43"/>
    <w:rsid w:val="00173175"/>
    <w:rsid w:val="00173B16"/>
    <w:rsid w:val="001A2972"/>
    <w:rsid w:val="001B2FCD"/>
    <w:rsid w:val="001B5380"/>
    <w:rsid w:val="001F2592"/>
    <w:rsid w:val="00222C71"/>
    <w:rsid w:val="002338CE"/>
    <w:rsid w:val="0024602D"/>
    <w:rsid w:val="002530AD"/>
    <w:rsid w:val="002662FB"/>
    <w:rsid w:val="00272D1B"/>
    <w:rsid w:val="002A51C4"/>
    <w:rsid w:val="002B1869"/>
    <w:rsid w:val="002B30CA"/>
    <w:rsid w:val="002B3C9F"/>
    <w:rsid w:val="002D49B2"/>
    <w:rsid w:val="002E3504"/>
    <w:rsid w:val="002F1F14"/>
    <w:rsid w:val="002F2A8D"/>
    <w:rsid w:val="002F2F3D"/>
    <w:rsid w:val="002F6B41"/>
    <w:rsid w:val="00312426"/>
    <w:rsid w:val="00321F90"/>
    <w:rsid w:val="00327E9A"/>
    <w:rsid w:val="00337DC9"/>
    <w:rsid w:val="00396B3B"/>
    <w:rsid w:val="003A0788"/>
    <w:rsid w:val="003C0A50"/>
    <w:rsid w:val="003C637A"/>
    <w:rsid w:val="003D4957"/>
    <w:rsid w:val="003D5853"/>
    <w:rsid w:val="003D5D91"/>
    <w:rsid w:val="003E7C2C"/>
    <w:rsid w:val="003F0FF7"/>
    <w:rsid w:val="003F138F"/>
    <w:rsid w:val="003F3149"/>
    <w:rsid w:val="004017CD"/>
    <w:rsid w:val="0040602E"/>
    <w:rsid w:val="0042091C"/>
    <w:rsid w:val="004213E3"/>
    <w:rsid w:val="004304F1"/>
    <w:rsid w:val="00431B7A"/>
    <w:rsid w:val="0044413E"/>
    <w:rsid w:val="00456A9B"/>
    <w:rsid w:val="00495569"/>
    <w:rsid w:val="00496F3A"/>
    <w:rsid w:val="004A0959"/>
    <w:rsid w:val="004A630D"/>
    <w:rsid w:val="004C3978"/>
    <w:rsid w:val="004C610F"/>
    <w:rsid w:val="004C72D7"/>
    <w:rsid w:val="004C7C0E"/>
    <w:rsid w:val="004D0414"/>
    <w:rsid w:val="004D3417"/>
    <w:rsid w:val="004E10BE"/>
    <w:rsid w:val="004E4D71"/>
    <w:rsid w:val="00500B13"/>
    <w:rsid w:val="005170EB"/>
    <w:rsid w:val="00535A4B"/>
    <w:rsid w:val="00545921"/>
    <w:rsid w:val="00545E87"/>
    <w:rsid w:val="00555A81"/>
    <w:rsid w:val="005632A8"/>
    <w:rsid w:val="005A6B39"/>
    <w:rsid w:val="005D4E1A"/>
    <w:rsid w:val="005D52A5"/>
    <w:rsid w:val="005D6F5E"/>
    <w:rsid w:val="005D7D47"/>
    <w:rsid w:val="005F6698"/>
    <w:rsid w:val="00601A58"/>
    <w:rsid w:val="006124C3"/>
    <w:rsid w:val="00612E24"/>
    <w:rsid w:val="00620BF6"/>
    <w:rsid w:val="00620F21"/>
    <w:rsid w:val="00623581"/>
    <w:rsid w:val="0062521C"/>
    <w:rsid w:val="0063110C"/>
    <w:rsid w:val="006326CC"/>
    <w:rsid w:val="0065357F"/>
    <w:rsid w:val="006553CA"/>
    <w:rsid w:val="00661B51"/>
    <w:rsid w:val="00666E19"/>
    <w:rsid w:val="006A15EB"/>
    <w:rsid w:val="006A163F"/>
    <w:rsid w:val="006A188B"/>
    <w:rsid w:val="006C25D7"/>
    <w:rsid w:val="006F22AB"/>
    <w:rsid w:val="00703462"/>
    <w:rsid w:val="00711766"/>
    <w:rsid w:val="007215F5"/>
    <w:rsid w:val="00730BAC"/>
    <w:rsid w:val="00762117"/>
    <w:rsid w:val="007664A4"/>
    <w:rsid w:val="00790709"/>
    <w:rsid w:val="007A7B04"/>
    <w:rsid w:val="007D4E43"/>
    <w:rsid w:val="007F473B"/>
    <w:rsid w:val="008370AE"/>
    <w:rsid w:val="0084313E"/>
    <w:rsid w:val="00855674"/>
    <w:rsid w:val="00864691"/>
    <w:rsid w:val="00873906"/>
    <w:rsid w:val="008C2DF6"/>
    <w:rsid w:val="008C5A51"/>
    <w:rsid w:val="008F06ED"/>
    <w:rsid w:val="008F4DE2"/>
    <w:rsid w:val="00903E81"/>
    <w:rsid w:val="0090485A"/>
    <w:rsid w:val="00920BC9"/>
    <w:rsid w:val="0092345D"/>
    <w:rsid w:val="00933B1D"/>
    <w:rsid w:val="00946758"/>
    <w:rsid w:val="00951550"/>
    <w:rsid w:val="00954005"/>
    <w:rsid w:val="00961E77"/>
    <w:rsid w:val="00967951"/>
    <w:rsid w:val="00981B6D"/>
    <w:rsid w:val="009879E4"/>
    <w:rsid w:val="009905F3"/>
    <w:rsid w:val="009B055E"/>
    <w:rsid w:val="009B5D92"/>
    <w:rsid w:val="009D770B"/>
    <w:rsid w:val="009D7740"/>
    <w:rsid w:val="009E552D"/>
    <w:rsid w:val="009F3E0F"/>
    <w:rsid w:val="009F4066"/>
    <w:rsid w:val="00A06C63"/>
    <w:rsid w:val="00A10759"/>
    <w:rsid w:val="00A25B4C"/>
    <w:rsid w:val="00A83098"/>
    <w:rsid w:val="00A938D7"/>
    <w:rsid w:val="00AD020C"/>
    <w:rsid w:val="00B21313"/>
    <w:rsid w:val="00B4352B"/>
    <w:rsid w:val="00B7142F"/>
    <w:rsid w:val="00B833CF"/>
    <w:rsid w:val="00B8431B"/>
    <w:rsid w:val="00B879CD"/>
    <w:rsid w:val="00BF622C"/>
    <w:rsid w:val="00C30C58"/>
    <w:rsid w:val="00C52005"/>
    <w:rsid w:val="00C53362"/>
    <w:rsid w:val="00C7064C"/>
    <w:rsid w:val="00C9531E"/>
    <w:rsid w:val="00CB3568"/>
    <w:rsid w:val="00CB3EF6"/>
    <w:rsid w:val="00D1708E"/>
    <w:rsid w:val="00D2563D"/>
    <w:rsid w:val="00D32C5B"/>
    <w:rsid w:val="00D41764"/>
    <w:rsid w:val="00D50D36"/>
    <w:rsid w:val="00D83EFF"/>
    <w:rsid w:val="00D86EB7"/>
    <w:rsid w:val="00DA64DD"/>
    <w:rsid w:val="00DB4819"/>
    <w:rsid w:val="00DC4F6E"/>
    <w:rsid w:val="00DD6564"/>
    <w:rsid w:val="00DD7200"/>
    <w:rsid w:val="00E03EF7"/>
    <w:rsid w:val="00E04E58"/>
    <w:rsid w:val="00E11551"/>
    <w:rsid w:val="00E13D15"/>
    <w:rsid w:val="00E20EBD"/>
    <w:rsid w:val="00E30E6F"/>
    <w:rsid w:val="00E446F5"/>
    <w:rsid w:val="00E50606"/>
    <w:rsid w:val="00E76197"/>
    <w:rsid w:val="00E87BFA"/>
    <w:rsid w:val="00EE03B4"/>
    <w:rsid w:val="00EE2118"/>
    <w:rsid w:val="00EF6259"/>
    <w:rsid w:val="00F111B3"/>
    <w:rsid w:val="00F46E00"/>
    <w:rsid w:val="00F523B0"/>
    <w:rsid w:val="00F826D6"/>
    <w:rsid w:val="00FC6ACE"/>
    <w:rsid w:val="00FC7181"/>
    <w:rsid w:val="00F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8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4F1"/>
  </w:style>
  <w:style w:type="paragraph" w:styleId="Altbilgi">
    <w:name w:val="footer"/>
    <w:basedOn w:val="Normal"/>
    <w:link w:val="AltbilgiChar"/>
    <w:uiPriority w:val="99"/>
    <w:unhideWhenUsed/>
    <w:rsid w:val="004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4F1"/>
  </w:style>
  <w:style w:type="table" w:styleId="TabloKlavuzu">
    <w:name w:val="Table Grid"/>
    <w:basedOn w:val="NormalTablo"/>
    <w:uiPriority w:val="59"/>
    <w:rsid w:val="002A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C2DF6"/>
    <w:rPr>
      <w:b/>
      <w:bCs/>
      <w:i w:val="0"/>
      <w:iCs w:val="0"/>
    </w:rPr>
  </w:style>
  <w:style w:type="paragraph" w:customStyle="1" w:styleId="Style2">
    <w:name w:val="Style2"/>
    <w:basedOn w:val="Normal"/>
    <w:uiPriority w:val="99"/>
    <w:rsid w:val="00666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3">
    <w:name w:val="Font Style23"/>
    <w:basedOn w:val="VarsaylanParagrafYazTipi"/>
    <w:uiPriority w:val="99"/>
    <w:rsid w:val="00666E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VarsaylanParagrafYazTipi"/>
    <w:uiPriority w:val="99"/>
    <w:rsid w:val="00666E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666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F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3F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5">
    <w:name w:val="Font Style25"/>
    <w:basedOn w:val="VarsaylanParagrafYazTipi"/>
    <w:uiPriority w:val="99"/>
    <w:rsid w:val="003F0FF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VarsaylanParagrafYazTipi"/>
    <w:uiPriority w:val="99"/>
    <w:rsid w:val="003F0FF7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.dak~Vl.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l.dak~Vl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.dak~Vl.7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59A5-5A17-4E5D-9EEC-51F4E33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2983</Words>
  <Characters>17008</Characters>
  <Application>Microsoft Office Word</Application>
  <DocSecurity>0</DocSecurity>
  <Lines>141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ebellikan</cp:lastModifiedBy>
  <cp:revision>9</cp:revision>
  <cp:lastPrinted>2012-04-02T11:53:00Z</cp:lastPrinted>
  <dcterms:created xsi:type="dcterms:W3CDTF">2012-04-27T05:25:00Z</dcterms:created>
  <dcterms:modified xsi:type="dcterms:W3CDTF">2014-10-16T12:28:00Z</dcterms:modified>
</cp:coreProperties>
</file>