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74" w:rsidRPr="00F36418" w:rsidRDefault="00414D74" w:rsidP="009A1B75">
      <w:pPr>
        <w:spacing w:line="276" w:lineRule="auto"/>
        <w:jc w:val="center"/>
        <w:rPr>
          <w:b/>
        </w:rPr>
      </w:pPr>
    </w:p>
    <w:p w:rsidR="008A1E76" w:rsidRPr="00F36418" w:rsidRDefault="008A1E76" w:rsidP="009A1B75">
      <w:pPr>
        <w:spacing w:line="276" w:lineRule="auto"/>
        <w:jc w:val="center"/>
        <w:rPr>
          <w:b/>
        </w:rPr>
      </w:pPr>
      <w:r w:rsidRPr="00F36418">
        <w:rPr>
          <w:b/>
        </w:rPr>
        <w:t>KISA ÜRÜN BİLGİSİ</w:t>
      </w:r>
    </w:p>
    <w:p w:rsidR="008A1E76" w:rsidRPr="00F36418" w:rsidRDefault="008A1E76" w:rsidP="009A1B75">
      <w:pPr>
        <w:spacing w:line="276" w:lineRule="auto"/>
        <w:jc w:val="both"/>
        <w:rPr>
          <w:b/>
        </w:rPr>
      </w:pPr>
    </w:p>
    <w:p w:rsidR="00414D74" w:rsidRPr="00F36418" w:rsidRDefault="00414D74" w:rsidP="009A1B75">
      <w:pPr>
        <w:spacing w:line="276" w:lineRule="auto"/>
        <w:jc w:val="both"/>
        <w:rPr>
          <w:b/>
        </w:rPr>
      </w:pPr>
    </w:p>
    <w:p w:rsidR="008A1E76" w:rsidRPr="00F36418" w:rsidRDefault="008A1E76" w:rsidP="009A1B75">
      <w:pPr>
        <w:spacing w:line="276" w:lineRule="auto"/>
        <w:jc w:val="both"/>
        <w:rPr>
          <w:b/>
        </w:rPr>
      </w:pPr>
      <w:r w:rsidRPr="00F36418">
        <w:rPr>
          <w:b/>
        </w:rPr>
        <w:t>1. BEŞERİ TIBBİ ÜRÜNÜN ADI</w:t>
      </w:r>
    </w:p>
    <w:p w:rsidR="00E229C6" w:rsidRPr="00F36418" w:rsidRDefault="00EA76D3" w:rsidP="00E229C6">
      <w:pPr>
        <w:widowControl w:val="0"/>
        <w:autoSpaceDE w:val="0"/>
        <w:autoSpaceDN w:val="0"/>
        <w:adjustRightInd w:val="0"/>
        <w:ind w:right="-81"/>
        <w:jc w:val="both"/>
      </w:pPr>
      <w:r w:rsidRPr="00F36418">
        <w:t xml:space="preserve">BACTRİM </w:t>
      </w:r>
      <w:r w:rsidR="00E229C6" w:rsidRPr="00F36418">
        <w:t>400/80 mg i.v. enjektabl çözelti içeren ampul</w:t>
      </w:r>
    </w:p>
    <w:p w:rsidR="008A1E76" w:rsidRPr="00F36418" w:rsidRDefault="008A1E76" w:rsidP="009A1B75">
      <w:pPr>
        <w:spacing w:line="276" w:lineRule="auto"/>
        <w:jc w:val="both"/>
        <w:rPr>
          <w:b/>
        </w:rPr>
      </w:pPr>
    </w:p>
    <w:p w:rsidR="008A1E76" w:rsidRPr="00F36418" w:rsidRDefault="008A1E76" w:rsidP="009A1B75">
      <w:pPr>
        <w:spacing w:line="276" w:lineRule="auto"/>
        <w:jc w:val="both"/>
        <w:rPr>
          <w:b/>
        </w:rPr>
      </w:pPr>
      <w:r w:rsidRPr="00F36418">
        <w:rPr>
          <w:b/>
        </w:rPr>
        <w:t>2. KALİTATİF VE KANTİTATİF BİLEŞİM</w:t>
      </w:r>
    </w:p>
    <w:p w:rsidR="007A575B" w:rsidRPr="00F36418" w:rsidRDefault="007A575B" w:rsidP="009A1B75">
      <w:pPr>
        <w:spacing w:line="276" w:lineRule="auto"/>
        <w:ind w:right="-108"/>
        <w:rPr>
          <w:spacing w:val="-2"/>
        </w:rPr>
      </w:pPr>
      <w:r w:rsidRPr="00F36418">
        <w:t>Her bir 5 ml’lik ampul:</w:t>
      </w:r>
      <w:r w:rsidRPr="00F36418">
        <w:rPr>
          <w:spacing w:val="-2"/>
        </w:rPr>
        <w:t xml:space="preserve"> </w:t>
      </w:r>
    </w:p>
    <w:p w:rsidR="008A1E76" w:rsidRPr="00F36418" w:rsidRDefault="008A1E76" w:rsidP="009A1B75">
      <w:pPr>
        <w:spacing w:line="276" w:lineRule="auto"/>
        <w:ind w:right="-108"/>
      </w:pPr>
      <w:r w:rsidRPr="00F36418">
        <w:rPr>
          <w:b/>
        </w:rPr>
        <w:t>Etkin madde:</w:t>
      </w:r>
      <w:r w:rsidRPr="00F36418">
        <w:t xml:space="preserve"> </w:t>
      </w:r>
    </w:p>
    <w:p w:rsidR="00A364B2" w:rsidRPr="00F36418" w:rsidRDefault="00A364B2" w:rsidP="009A1B75">
      <w:pPr>
        <w:spacing w:line="276" w:lineRule="auto"/>
        <w:ind w:right="-108"/>
        <w:rPr>
          <w:spacing w:val="-2"/>
        </w:rPr>
      </w:pPr>
      <w:r w:rsidRPr="00F36418">
        <w:rPr>
          <w:spacing w:val="-2"/>
        </w:rPr>
        <w:t>S</w:t>
      </w:r>
      <w:r w:rsidR="00414D74" w:rsidRPr="00F36418">
        <w:rPr>
          <w:spacing w:val="-2"/>
        </w:rPr>
        <w:t>ü</w:t>
      </w:r>
      <w:r w:rsidRPr="00F36418">
        <w:rPr>
          <w:spacing w:val="-2"/>
        </w:rPr>
        <w:t>lfametoksazol</w:t>
      </w:r>
      <w:r w:rsidR="00442A04" w:rsidRPr="00F36418">
        <w:rPr>
          <w:spacing w:val="-2"/>
        </w:rPr>
        <w:t xml:space="preserve">  (</w:t>
      </w:r>
      <w:r w:rsidR="00442A04" w:rsidRPr="00F36418">
        <w:t>SMZ)</w:t>
      </w:r>
      <w:r w:rsidR="00442A04" w:rsidRPr="00F36418">
        <w:rPr>
          <w:spacing w:val="-2"/>
        </w:rPr>
        <w:t xml:space="preserve">           </w:t>
      </w:r>
      <w:proofErr w:type="gramStart"/>
      <w:r w:rsidRPr="00F36418">
        <w:rPr>
          <w:spacing w:val="-2"/>
        </w:rPr>
        <w:t>400</w:t>
      </w:r>
      <w:r w:rsidR="00B75851" w:rsidRPr="00F36418">
        <w:rPr>
          <w:spacing w:val="-2"/>
        </w:rPr>
        <w:t xml:space="preserve">  </w:t>
      </w:r>
      <w:r w:rsidRPr="00F36418">
        <w:rPr>
          <w:spacing w:val="-2"/>
        </w:rPr>
        <w:t>mg</w:t>
      </w:r>
      <w:proofErr w:type="gramEnd"/>
    </w:p>
    <w:p w:rsidR="00A364B2" w:rsidRPr="00F36418" w:rsidRDefault="00442A04" w:rsidP="009A1B75">
      <w:pPr>
        <w:spacing w:line="276" w:lineRule="auto"/>
        <w:ind w:right="-108"/>
        <w:rPr>
          <w:spacing w:val="-2"/>
        </w:rPr>
      </w:pPr>
      <w:r w:rsidRPr="00F36418">
        <w:rPr>
          <w:spacing w:val="-2"/>
        </w:rPr>
        <w:t>Trimetoprim (</w:t>
      </w:r>
      <w:r w:rsidRPr="00F36418">
        <w:t>TMP)</w:t>
      </w:r>
      <w:r w:rsidR="00A364B2" w:rsidRPr="00F36418">
        <w:rPr>
          <w:spacing w:val="-2"/>
        </w:rPr>
        <w:tab/>
      </w:r>
      <w:r w:rsidR="00A364B2" w:rsidRPr="00F36418">
        <w:rPr>
          <w:spacing w:val="-2"/>
        </w:rPr>
        <w:tab/>
      </w:r>
      <w:r w:rsidR="008C161F" w:rsidRPr="00F36418">
        <w:rPr>
          <w:spacing w:val="-2"/>
        </w:rPr>
        <w:t xml:space="preserve">     </w:t>
      </w:r>
      <w:proofErr w:type="gramStart"/>
      <w:r w:rsidR="00A364B2" w:rsidRPr="00F36418">
        <w:rPr>
          <w:spacing w:val="-2"/>
        </w:rPr>
        <w:t>80</w:t>
      </w:r>
      <w:r w:rsidR="00B75851" w:rsidRPr="00F36418">
        <w:rPr>
          <w:spacing w:val="-2"/>
        </w:rPr>
        <w:t xml:space="preserve">  </w:t>
      </w:r>
      <w:r w:rsidR="00A364B2" w:rsidRPr="00F36418">
        <w:rPr>
          <w:spacing w:val="-2"/>
        </w:rPr>
        <w:t>mg</w:t>
      </w:r>
      <w:proofErr w:type="gramEnd"/>
    </w:p>
    <w:p w:rsidR="00DC7BEC" w:rsidRPr="00F36418" w:rsidRDefault="008A1E76" w:rsidP="009A1B75">
      <w:pPr>
        <w:spacing w:line="276" w:lineRule="auto"/>
        <w:ind w:right="-108"/>
        <w:rPr>
          <w:b/>
        </w:rPr>
      </w:pPr>
      <w:r w:rsidRPr="00F36418">
        <w:rPr>
          <w:b/>
        </w:rPr>
        <w:t xml:space="preserve">Yardımcı madde(ler): </w:t>
      </w:r>
    </w:p>
    <w:p w:rsidR="00DC7BEC" w:rsidRPr="00F36418" w:rsidRDefault="00DC7BEC" w:rsidP="009A1B75">
      <w:pPr>
        <w:spacing w:line="276" w:lineRule="auto"/>
        <w:jc w:val="both"/>
      </w:pPr>
      <w:r w:rsidRPr="00F36418">
        <w:t>Propilen glikol</w:t>
      </w:r>
      <w:r w:rsidRPr="00F36418">
        <w:tab/>
      </w:r>
      <w:r w:rsidRPr="00F36418">
        <w:tab/>
      </w:r>
      <w:proofErr w:type="gramStart"/>
      <w:r w:rsidRPr="00F36418">
        <w:t>2050</w:t>
      </w:r>
      <w:r w:rsidR="00B75851" w:rsidRPr="00F36418">
        <w:t>.</w:t>
      </w:r>
      <w:r w:rsidRPr="00F36418">
        <w:t>0</w:t>
      </w:r>
      <w:proofErr w:type="gramEnd"/>
      <w:r w:rsidRPr="00F36418">
        <w:t xml:space="preserve"> mg</w:t>
      </w:r>
    </w:p>
    <w:p w:rsidR="00DC7BEC" w:rsidRPr="00F36418" w:rsidRDefault="00DC7BEC" w:rsidP="009A1B75">
      <w:pPr>
        <w:spacing w:line="276" w:lineRule="auto"/>
        <w:jc w:val="both"/>
      </w:pPr>
      <w:r w:rsidRPr="00F36418">
        <w:t>Susuz etanol</w:t>
      </w:r>
      <w:r w:rsidRPr="00F36418">
        <w:tab/>
      </w:r>
      <w:r w:rsidRPr="00F36418">
        <w:tab/>
      </w:r>
      <w:r w:rsidRPr="00F36418">
        <w:tab/>
      </w:r>
      <w:r w:rsidR="008C161F" w:rsidRPr="00F36418">
        <w:t xml:space="preserve">  </w:t>
      </w:r>
      <w:proofErr w:type="gramStart"/>
      <w:r w:rsidRPr="00F36418">
        <w:t>500</w:t>
      </w:r>
      <w:r w:rsidR="00B75851" w:rsidRPr="00F36418">
        <w:t>.</w:t>
      </w:r>
      <w:r w:rsidRPr="00F36418">
        <w:t>0</w:t>
      </w:r>
      <w:proofErr w:type="gramEnd"/>
      <w:r w:rsidRPr="00F36418">
        <w:t xml:space="preserve"> mg</w:t>
      </w:r>
    </w:p>
    <w:p w:rsidR="00414D74" w:rsidRPr="00F36418" w:rsidRDefault="00414D74" w:rsidP="009A1B75">
      <w:pPr>
        <w:spacing w:line="276" w:lineRule="auto"/>
        <w:jc w:val="both"/>
      </w:pPr>
      <w:r w:rsidRPr="00F36418">
        <w:t>Sodyum hidroksit*</w:t>
      </w:r>
      <w:r w:rsidRPr="00F36418">
        <w:tab/>
      </w:r>
      <w:r w:rsidRPr="00F36418">
        <w:tab/>
        <w:t xml:space="preserve">          k.m. </w:t>
      </w:r>
    </w:p>
    <w:p w:rsidR="00414D74" w:rsidRPr="00F36418" w:rsidRDefault="00414D74" w:rsidP="009A1B75">
      <w:pPr>
        <w:spacing w:line="276" w:lineRule="auto"/>
        <w:jc w:val="both"/>
      </w:pPr>
      <w:r w:rsidRPr="00F36418">
        <w:t>(%10’luk çözelti)</w:t>
      </w:r>
      <w:r w:rsidRPr="00F36418">
        <w:tab/>
      </w:r>
    </w:p>
    <w:p w:rsidR="00414D74" w:rsidRPr="00F36418" w:rsidRDefault="00414D74" w:rsidP="009A1B75">
      <w:pPr>
        <w:spacing w:line="276" w:lineRule="auto"/>
        <w:jc w:val="both"/>
      </w:pPr>
      <w:r w:rsidRPr="00F36418">
        <w:t>* pH ayarı için</w:t>
      </w:r>
      <w:r w:rsidR="00180DB0" w:rsidRPr="00F36418">
        <w:t xml:space="preserve"> kullanılır.</w:t>
      </w:r>
    </w:p>
    <w:p w:rsidR="008A1E76" w:rsidRPr="00F36418" w:rsidRDefault="00EA76D3" w:rsidP="009A1B75">
      <w:pPr>
        <w:spacing w:line="276" w:lineRule="auto"/>
        <w:jc w:val="both"/>
      </w:pPr>
      <w:r w:rsidRPr="00F36418">
        <w:t>Y</w:t>
      </w:r>
      <w:r w:rsidR="00F81FD8" w:rsidRPr="00F36418">
        <w:t xml:space="preserve">ardımcı maddeler için, </w:t>
      </w:r>
      <w:proofErr w:type="gramStart"/>
      <w:r w:rsidR="00F81FD8" w:rsidRPr="00F36418">
        <w:t>6.1’</w:t>
      </w:r>
      <w:r w:rsidR="008A1E76" w:rsidRPr="00F36418">
        <w:t>e</w:t>
      </w:r>
      <w:proofErr w:type="gramEnd"/>
      <w:r w:rsidR="008A1E76" w:rsidRPr="00F36418">
        <w:t xml:space="preserve"> bakınız.</w:t>
      </w:r>
    </w:p>
    <w:p w:rsidR="008A1E76" w:rsidRPr="00F36418" w:rsidRDefault="008A1E76" w:rsidP="009A1B75">
      <w:pPr>
        <w:spacing w:line="276" w:lineRule="auto"/>
        <w:jc w:val="both"/>
        <w:rPr>
          <w:b/>
        </w:rPr>
      </w:pPr>
    </w:p>
    <w:p w:rsidR="008A1E76" w:rsidRPr="00F36418" w:rsidRDefault="008A1E76" w:rsidP="009A1B75">
      <w:pPr>
        <w:spacing w:line="276" w:lineRule="auto"/>
        <w:jc w:val="both"/>
        <w:rPr>
          <w:b/>
        </w:rPr>
      </w:pPr>
      <w:r w:rsidRPr="00F36418">
        <w:rPr>
          <w:b/>
        </w:rPr>
        <w:t>3. FARMASÖTİK FORM</w:t>
      </w:r>
    </w:p>
    <w:p w:rsidR="007F53C2" w:rsidRPr="00F36418" w:rsidRDefault="007F53C2" w:rsidP="009A1B75">
      <w:pPr>
        <w:spacing w:line="276" w:lineRule="auto"/>
        <w:jc w:val="both"/>
      </w:pPr>
      <w:r w:rsidRPr="00F36418">
        <w:t xml:space="preserve">İ.V. </w:t>
      </w:r>
      <w:r w:rsidR="00BB6394" w:rsidRPr="00F36418">
        <w:t>enjektabl çözelti içeren ampul</w:t>
      </w:r>
    </w:p>
    <w:p w:rsidR="008A1E76" w:rsidRPr="00F36418" w:rsidRDefault="008A1E76" w:rsidP="009A1B75">
      <w:pPr>
        <w:spacing w:line="276" w:lineRule="auto"/>
        <w:jc w:val="both"/>
        <w:rPr>
          <w:b/>
        </w:rPr>
      </w:pPr>
    </w:p>
    <w:p w:rsidR="008A1E76" w:rsidRPr="00F36418" w:rsidRDefault="008A1E76" w:rsidP="009A1B75">
      <w:pPr>
        <w:spacing w:line="276" w:lineRule="auto"/>
        <w:jc w:val="both"/>
        <w:rPr>
          <w:b/>
        </w:rPr>
      </w:pPr>
      <w:r w:rsidRPr="00F36418">
        <w:rPr>
          <w:b/>
        </w:rPr>
        <w:t>4. KLİNİK ÖZELLİKLER</w:t>
      </w:r>
    </w:p>
    <w:p w:rsidR="008A1E76" w:rsidRPr="00F36418" w:rsidRDefault="008A1E76" w:rsidP="009A1B75">
      <w:pPr>
        <w:spacing w:line="276" w:lineRule="auto"/>
        <w:jc w:val="both"/>
        <w:rPr>
          <w:b/>
        </w:rPr>
      </w:pPr>
      <w:r w:rsidRPr="00F36418">
        <w:rPr>
          <w:b/>
        </w:rPr>
        <w:t>4.1. Terapötik endikasyonlar</w:t>
      </w:r>
    </w:p>
    <w:p w:rsidR="008C161F" w:rsidRPr="00F36418" w:rsidRDefault="008C161F" w:rsidP="009A1B75">
      <w:pPr>
        <w:spacing w:line="276" w:lineRule="auto"/>
        <w:jc w:val="both"/>
      </w:pPr>
      <w:r w:rsidRPr="00F36418">
        <w:t xml:space="preserve">BACTRİM, duyarlı organizmaların neden olduğu aşağıdaki enfeksiyonların tedavisi için endikedir (bkz. bölüm </w:t>
      </w:r>
      <w:proofErr w:type="gramStart"/>
      <w:r w:rsidRPr="00F36418">
        <w:t>5.1</w:t>
      </w:r>
      <w:proofErr w:type="gramEnd"/>
      <w:r w:rsidRPr="00F36418">
        <w:t>):</w:t>
      </w:r>
    </w:p>
    <w:p w:rsidR="008C161F" w:rsidRPr="00F36418" w:rsidRDefault="008C161F" w:rsidP="009A1B75">
      <w:pPr>
        <w:spacing w:line="276" w:lineRule="auto"/>
        <w:jc w:val="both"/>
      </w:pPr>
    </w:p>
    <w:p w:rsidR="008C161F" w:rsidRPr="00F36418" w:rsidRDefault="008C161F" w:rsidP="009A1B75">
      <w:pPr>
        <w:pStyle w:val="ListeParagraf"/>
        <w:numPr>
          <w:ilvl w:val="0"/>
          <w:numId w:val="2"/>
        </w:numPr>
        <w:spacing w:line="276" w:lineRule="auto"/>
        <w:jc w:val="both"/>
      </w:pPr>
      <w:r w:rsidRPr="00F36418">
        <w:rPr>
          <w:i/>
        </w:rPr>
        <w:t>Pneumocystis jiroveci (P.carinii)</w:t>
      </w:r>
      <w:r w:rsidRPr="00F36418">
        <w:t xml:space="preserve"> pnömonitisin önlenmesi ve tedavisi</w:t>
      </w:r>
    </w:p>
    <w:p w:rsidR="008C161F" w:rsidRPr="00F36418" w:rsidRDefault="008C161F" w:rsidP="009A1B75">
      <w:pPr>
        <w:pStyle w:val="ListeParagraf"/>
        <w:numPr>
          <w:ilvl w:val="0"/>
          <w:numId w:val="2"/>
        </w:numPr>
        <w:spacing w:line="276" w:lineRule="auto"/>
        <w:jc w:val="both"/>
      </w:pPr>
      <w:r w:rsidRPr="00F36418">
        <w:t>Toksoplazmozisin profilaksisi ve tedavisi</w:t>
      </w:r>
    </w:p>
    <w:p w:rsidR="008C161F" w:rsidRPr="00F36418" w:rsidRDefault="008C161F" w:rsidP="009A1B75">
      <w:pPr>
        <w:pStyle w:val="ListeParagraf"/>
        <w:numPr>
          <w:ilvl w:val="0"/>
          <w:numId w:val="2"/>
        </w:numPr>
        <w:spacing w:line="276" w:lineRule="auto"/>
        <w:jc w:val="both"/>
      </w:pPr>
      <w:bookmarkStart w:id="0" w:name="OLE_LINK3"/>
      <w:bookmarkStart w:id="1" w:name="OLE_LINK4"/>
      <w:r w:rsidRPr="00F36418">
        <w:t xml:space="preserve">Nokardiozisin </w:t>
      </w:r>
      <w:bookmarkEnd w:id="0"/>
      <w:bookmarkEnd w:id="1"/>
      <w:r w:rsidRPr="00F36418">
        <w:t>tedavisi</w:t>
      </w:r>
    </w:p>
    <w:p w:rsidR="008C161F" w:rsidRPr="00F36418" w:rsidRDefault="008C161F" w:rsidP="009A1B75">
      <w:pPr>
        <w:pStyle w:val="ListeParagraf"/>
        <w:spacing w:line="276" w:lineRule="auto"/>
        <w:jc w:val="both"/>
      </w:pPr>
    </w:p>
    <w:p w:rsidR="008C161F" w:rsidRPr="00F36418" w:rsidRDefault="008C161F" w:rsidP="009A1B75">
      <w:pPr>
        <w:spacing w:line="276" w:lineRule="auto"/>
        <w:jc w:val="both"/>
      </w:pPr>
      <w:r w:rsidRPr="00F36418">
        <w:t xml:space="preserve">BACTRİM’e karşı bakteriyel duyarlılık bulgusu varsa ve BACTRİM içinde bulunan antibiyotik </w:t>
      </w:r>
      <w:proofErr w:type="gramStart"/>
      <w:r w:rsidRPr="00F36418">
        <w:t>kombinasyonunun</w:t>
      </w:r>
      <w:proofErr w:type="gramEnd"/>
      <w:r w:rsidRPr="00F36418">
        <w:t xml:space="preserve"> tek bir antibiyotiğe tercih edilmesi için iyi bir neden varsa, şu enfeksiyonlar BACTRİM ile tedavi edilebilir:</w:t>
      </w:r>
    </w:p>
    <w:p w:rsidR="008C161F" w:rsidRPr="00F36418" w:rsidRDefault="008C161F" w:rsidP="009A1B75">
      <w:pPr>
        <w:spacing w:line="276" w:lineRule="auto"/>
        <w:jc w:val="both"/>
      </w:pPr>
    </w:p>
    <w:p w:rsidR="008C161F" w:rsidRPr="00F36418" w:rsidRDefault="008C161F" w:rsidP="009A1B75">
      <w:pPr>
        <w:pStyle w:val="ListeParagraf"/>
        <w:numPr>
          <w:ilvl w:val="0"/>
          <w:numId w:val="3"/>
        </w:numPr>
        <w:spacing w:line="276" w:lineRule="auto"/>
        <w:jc w:val="both"/>
      </w:pPr>
      <w:bookmarkStart w:id="2" w:name="OLE_LINK5"/>
      <w:bookmarkStart w:id="3" w:name="OLE_LINK6"/>
      <w:r w:rsidRPr="00F36418">
        <w:t xml:space="preserve">Akut </w:t>
      </w:r>
      <w:proofErr w:type="gramStart"/>
      <w:r w:rsidRPr="00F36418">
        <w:t>komplikasyonsuz</w:t>
      </w:r>
      <w:proofErr w:type="gramEnd"/>
      <w:r w:rsidRPr="00F36418">
        <w:t xml:space="preserve"> </w:t>
      </w:r>
      <w:bookmarkEnd w:id="2"/>
      <w:bookmarkEnd w:id="3"/>
      <w:r w:rsidRPr="00F36418">
        <w:t>üriner sistem enfeksiyonu</w:t>
      </w:r>
    </w:p>
    <w:p w:rsidR="008C161F" w:rsidRPr="00F36418" w:rsidRDefault="008C161F" w:rsidP="009A1B75">
      <w:pPr>
        <w:pStyle w:val="ListeParagraf"/>
        <w:numPr>
          <w:ilvl w:val="0"/>
          <w:numId w:val="3"/>
        </w:numPr>
        <w:spacing w:line="276" w:lineRule="auto"/>
        <w:jc w:val="both"/>
      </w:pPr>
      <w:r w:rsidRPr="00F36418">
        <w:t>Akut otitis media</w:t>
      </w:r>
    </w:p>
    <w:p w:rsidR="008C161F" w:rsidRPr="00F36418" w:rsidRDefault="008C161F" w:rsidP="009A1B75">
      <w:pPr>
        <w:pStyle w:val="ListeParagraf"/>
        <w:numPr>
          <w:ilvl w:val="0"/>
          <w:numId w:val="3"/>
        </w:numPr>
        <w:spacing w:line="276" w:lineRule="auto"/>
        <w:jc w:val="both"/>
      </w:pPr>
      <w:r w:rsidRPr="00F36418">
        <w:t xml:space="preserve">Kronik bronşitin </w:t>
      </w:r>
      <w:bookmarkStart w:id="4" w:name="OLE_LINK7"/>
      <w:bookmarkStart w:id="5" w:name="OLE_LINK8"/>
      <w:r w:rsidRPr="00F36418">
        <w:t>akut alevlenmesi</w:t>
      </w:r>
      <w:bookmarkEnd w:id="4"/>
      <w:bookmarkEnd w:id="5"/>
    </w:p>
    <w:p w:rsidR="008C161F" w:rsidRPr="00F36418" w:rsidRDefault="008C161F" w:rsidP="009A1B75">
      <w:pPr>
        <w:pStyle w:val="ListeParagraf"/>
        <w:numPr>
          <w:ilvl w:val="0"/>
          <w:numId w:val="3"/>
        </w:numPr>
        <w:spacing w:line="276" w:lineRule="auto"/>
        <w:jc w:val="both"/>
      </w:pPr>
      <w:r w:rsidRPr="00F36418">
        <w:t>Antibakteriyel ajanların uygun kullanımı ile ilgili resmi kılavuzlar göz önüne alınmalıdır.</w:t>
      </w:r>
    </w:p>
    <w:p w:rsidR="008A1E76" w:rsidRPr="00F36418" w:rsidRDefault="008A1E76" w:rsidP="009A1B75">
      <w:pPr>
        <w:spacing w:line="276" w:lineRule="auto"/>
        <w:jc w:val="both"/>
      </w:pPr>
    </w:p>
    <w:p w:rsidR="00180DB0" w:rsidRPr="00F36418" w:rsidRDefault="00180DB0" w:rsidP="009A1B75">
      <w:pPr>
        <w:spacing w:line="276" w:lineRule="auto"/>
        <w:jc w:val="both"/>
      </w:pPr>
    </w:p>
    <w:p w:rsidR="00A43771" w:rsidRPr="00F36418" w:rsidRDefault="00A43771" w:rsidP="009A1B75">
      <w:pPr>
        <w:spacing w:line="276" w:lineRule="auto"/>
        <w:jc w:val="both"/>
      </w:pPr>
    </w:p>
    <w:p w:rsidR="008A1E76" w:rsidRPr="00F36418" w:rsidRDefault="008A1E76" w:rsidP="009A1B75">
      <w:pPr>
        <w:tabs>
          <w:tab w:val="left" w:pos="1200"/>
        </w:tabs>
        <w:spacing w:line="276" w:lineRule="auto"/>
        <w:jc w:val="both"/>
        <w:rPr>
          <w:b/>
        </w:rPr>
      </w:pPr>
      <w:r w:rsidRPr="00F36418">
        <w:rPr>
          <w:b/>
        </w:rPr>
        <w:lastRenderedPageBreak/>
        <w:t>4.2.  Pozoloji ve uygulama şekli</w:t>
      </w:r>
    </w:p>
    <w:p w:rsidR="008A1E76" w:rsidRPr="00F36418" w:rsidRDefault="00FD7DB3" w:rsidP="009A1B75">
      <w:pPr>
        <w:tabs>
          <w:tab w:val="left" w:pos="1200"/>
        </w:tabs>
        <w:spacing w:line="276" w:lineRule="auto"/>
        <w:jc w:val="both"/>
        <w:rPr>
          <w:b/>
        </w:rPr>
      </w:pPr>
      <w:r w:rsidRPr="00F36418">
        <w:rPr>
          <w:b/>
        </w:rPr>
        <w:t>Pozoloji</w:t>
      </w:r>
      <w:r w:rsidR="008A1E76" w:rsidRPr="00F36418">
        <w:rPr>
          <w:b/>
        </w:rPr>
        <w:t>:</w:t>
      </w:r>
    </w:p>
    <w:p w:rsidR="008A1E76" w:rsidRPr="00F36418" w:rsidRDefault="008A1E76" w:rsidP="009A1B75">
      <w:pPr>
        <w:spacing w:line="276" w:lineRule="auto"/>
        <w:jc w:val="both"/>
      </w:pPr>
      <w:r w:rsidRPr="00F36418">
        <w:rPr>
          <w:i/>
        </w:rPr>
        <w:t>Erişkinler ve 12 yaşın üzerindeki çocuklar</w:t>
      </w:r>
      <w:r w:rsidR="00F114CC" w:rsidRPr="00F36418">
        <w:rPr>
          <w:i/>
        </w:rPr>
        <w:t xml:space="preserve"> için standart doz</w:t>
      </w:r>
      <w:r w:rsidRPr="00F36418">
        <w:rPr>
          <w:i/>
        </w:rPr>
        <w:t xml:space="preserve">: </w:t>
      </w:r>
    </w:p>
    <w:p w:rsidR="00300EE5" w:rsidRPr="00F36418" w:rsidRDefault="00300EE5" w:rsidP="009A1B75">
      <w:pPr>
        <w:widowControl w:val="0"/>
        <w:suppressAutoHyphens/>
        <w:spacing w:line="276" w:lineRule="auto"/>
        <w:jc w:val="both"/>
      </w:pPr>
      <w:r w:rsidRPr="00F36418">
        <w:t xml:space="preserve">Yetişkinler ve 12 yaşından büyük çocuklar için standart doz: sabah ve akşam </w:t>
      </w:r>
      <w:r w:rsidR="00FD7DB3" w:rsidRPr="00F36418">
        <w:t xml:space="preserve">uygun seyreltme </w:t>
      </w:r>
      <w:r w:rsidRPr="00F36418">
        <w:t>yapıldıktan sonra günde iki kez 2 x(5 ml) ampul, (10 ml);</w:t>
      </w:r>
    </w:p>
    <w:p w:rsidR="00300EE5" w:rsidRPr="00F36418" w:rsidRDefault="00300EE5" w:rsidP="009A1B75">
      <w:pPr>
        <w:widowControl w:val="0"/>
        <w:suppressAutoHyphens/>
        <w:spacing w:line="276" w:lineRule="auto"/>
        <w:jc w:val="both"/>
      </w:pPr>
      <w:r w:rsidRPr="00F36418">
        <w:t xml:space="preserve">Günlük maksimum doz (özellikle ağır vakalar için): günde iki kez sabah ve akşam 3x(5 ml) ampul, (15 ml); </w:t>
      </w:r>
    </w:p>
    <w:p w:rsidR="00414D74" w:rsidRPr="00F36418" w:rsidRDefault="00414D74" w:rsidP="009A1B75">
      <w:pPr>
        <w:widowControl w:val="0"/>
        <w:suppressAutoHyphens/>
        <w:spacing w:line="276" w:lineRule="auto"/>
        <w:jc w:val="both"/>
      </w:pPr>
    </w:p>
    <w:p w:rsidR="00F114CC" w:rsidRPr="00F36418" w:rsidRDefault="00300EE5" w:rsidP="009A1B75">
      <w:pPr>
        <w:widowControl w:val="0"/>
        <w:suppressAutoHyphens/>
        <w:spacing w:line="276" w:lineRule="auto"/>
        <w:jc w:val="both"/>
      </w:pPr>
      <w:r w:rsidRPr="00F36418">
        <w:rPr>
          <w:i/>
        </w:rPr>
        <w:t>12 yaşına kadar çocuklar için standart doz:</w:t>
      </w:r>
      <w:r w:rsidRPr="00F36418">
        <w:t xml:space="preserve"> </w:t>
      </w:r>
    </w:p>
    <w:p w:rsidR="00300EE5" w:rsidRPr="00F36418" w:rsidRDefault="00300EE5" w:rsidP="009A1B75">
      <w:pPr>
        <w:widowControl w:val="0"/>
        <w:suppressAutoHyphens/>
        <w:spacing w:line="276" w:lineRule="auto"/>
        <w:jc w:val="both"/>
      </w:pPr>
      <w:r w:rsidRPr="00F36418">
        <w:t>Günlük ortalama doz yak</w:t>
      </w:r>
      <w:r w:rsidR="00F114CC" w:rsidRPr="00F36418">
        <w:t xml:space="preserve">laşık 2 ml/ </w:t>
      </w:r>
      <w:r w:rsidRPr="00F36418">
        <w:t xml:space="preserve">5 kg vücut ağırlığı; sabah ve akşam olmak üzere iki eşit doza bölünür.  </w:t>
      </w:r>
      <w:r w:rsidR="008C161F" w:rsidRPr="00F36418">
        <w:t>Ç</w:t>
      </w:r>
      <w:r w:rsidRPr="00F36418">
        <w:t>ocuklara tavsiye edilen doz kg başına gü</w:t>
      </w:r>
      <w:r w:rsidR="008C161F" w:rsidRPr="00F36418">
        <w:t>nlük 6 mg TMP ve 30 mg SMZ’dir.</w:t>
      </w:r>
    </w:p>
    <w:p w:rsidR="008C161F" w:rsidRPr="00F36418" w:rsidRDefault="008C161F" w:rsidP="009A1B75">
      <w:pPr>
        <w:widowControl w:val="0"/>
        <w:suppressAutoHyphens/>
        <w:spacing w:line="276" w:lineRule="auto"/>
        <w:jc w:val="both"/>
      </w:pPr>
    </w:p>
    <w:tbl>
      <w:tblPr>
        <w:tblStyle w:val="TabloKlavuzu"/>
        <w:tblW w:w="0" w:type="auto"/>
        <w:jc w:val="center"/>
        <w:tblInd w:w="-417" w:type="dxa"/>
        <w:tblLook w:val="04A0"/>
      </w:tblPr>
      <w:tblGrid>
        <w:gridCol w:w="1990"/>
        <w:gridCol w:w="2129"/>
      </w:tblGrid>
      <w:tr w:rsidR="008C161F" w:rsidRPr="00F36418" w:rsidTr="008C161F">
        <w:trPr>
          <w:jc w:val="center"/>
        </w:trPr>
        <w:tc>
          <w:tcPr>
            <w:tcW w:w="1990" w:type="dxa"/>
          </w:tcPr>
          <w:p w:rsidR="008C161F" w:rsidRPr="00F36418" w:rsidRDefault="008C161F" w:rsidP="009A1B75">
            <w:pPr>
              <w:widowControl w:val="0"/>
              <w:suppressAutoHyphens/>
              <w:spacing w:line="276" w:lineRule="auto"/>
              <w:jc w:val="center"/>
              <w:rPr>
                <w:b/>
              </w:rPr>
            </w:pPr>
            <w:r w:rsidRPr="00F36418">
              <w:rPr>
                <w:b/>
              </w:rPr>
              <w:t>Yaş</w:t>
            </w:r>
          </w:p>
        </w:tc>
        <w:tc>
          <w:tcPr>
            <w:tcW w:w="2129" w:type="dxa"/>
          </w:tcPr>
          <w:p w:rsidR="008C161F" w:rsidRPr="00F36418" w:rsidRDefault="008C161F" w:rsidP="009A1B75">
            <w:pPr>
              <w:widowControl w:val="0"/>
              <w:suppressAutoHyphens/>
              <w:spacing w:line="276" w:lineRule="auto"/>
              <w:jc w:val="center"/>
              <w:rPr>
                <w:b/>
              </w:rPr>
            </w:pPr>
            <w:r w:rsidRPr="00F36418">
              <w:rPr>
                <w:b/>
              </w:rPr>
              <w:t>Doz</w:t>
            </w:r>
          </w:p>
        </w:tc>
      </w:tr>
      <w:tr w:rsidR="008C161F" w:rsidRPr="00F36418" w:rsidTr="008C161F">
        <w:trPr>
          <w:jc w:val="center"/>
        </w:trPr>
        <w:tc>
          <w:tcPr>
            <w:tcW w:w="1990" w:type="dxa"/>
          </w:tcPr>
          <w:p w:rsidR="008C161F" w:rsidRPr="00F36418" w:rsidRDefault="008C161F" w:rsidP="009A1B75">
            <w:pPr>
              <w:widowControl w:val="0"/>
              <w:suppressAutoHyphens/>
              <w:spacing w:line="276" w:lineRule="auto"/>
              <w:jc w:val="center"/>
            </w:pPr>
            <w:r w:rsidRPr="00F36418">
              <w:t>6 hafta – 5 ay</w:t>
            </w:r>
          </w:p>
        </w:tc>
        <w:tc>
          <w:tcPr>
            <w:tcW w:w="2129" w:type="dxa"/>
          </w:tcPr>
          <w:p w:rsidR="008C161F" w:rsidRPr="00F36418" w:rsidRDefault="00F35915" w:rsidP="009A1B75">
            <w:pPr>
              <w:widowControl w:val="0"/>
              <w:suppressAutoHyphens/>
              <w:spacing w:line="276" w:lineRule="auto"/>
              <w:jc w:val="center"/>
            </w:pPr>
            <w:r w:rsidRPr="00F36418">
              <w:t>12 saatte bir 1,2</w:t>
            </w:r>
            <w:r w:rsidR="008C161F" w:rsidRPr="00F36418">
              <w:t>5 ml</w:t>
            </w:r>
          </w:p>
        </w:tc>
      </w:tr>
      <w:tr w:rsidR="008C161F" w:rsidRPr="00F36418" w:rsidTr="008C161F">
        <w:trPr>
          <w:jc w:val="center"/>
        </w:trPr>
        <w:tc>
          <w:tcPr>
            <w:tcW w:w="1990" w:type="dxa"/>
          </w:tcPr>
          <w:p w:rsidR="008C161F" w:rsidRPr="00F36418" w:rsidRDefault="008C161F" w:rsidP="009A1B75">
            <w:pPr>
              <w:widowControl w:val="0"/>
              <w:suppressAutoHyphens/>
              <w:spacing w:line="276" w:lineRule="auto"/>
              <w:jc w:val="center"/>
            </w:pPr>
            <w:r w:rsidRPr="00F36418">
              <w:t>6 ay – 5 yaş</w:t>
            </w:r>
          </w:p>
        </w:tc>
        <w:tc>
          <w:tcPr>
            <w:tcW w:w="2129" w:type="dxa"/>
          </w:tcPr>
          <w:p w:rsidR="008C161F" w:rsidRPr="00F36418" w:rsidRDefault="008C161F" w:rsidP="009A1B75">
            <w:pPr>
              <w:widowControl w:val="0"/>
              <w:suppressAutoHyphens/>
              <w:spacing w:line="276" w:lineRule="auto"/>
              <w:jc w:val="center"/>
            </w:pPr>
            <w:r w:rsidRPr="00F36418">
              <w:t>12 saatte bir 2,5 ml</w:t>
            </w:r>
          </w:p>
        </w:tc>
      </w:tr>
      <w:tr w:rsidR="008C161F" w:rsidRPr="00F36418" w:rsidTr="008C161F">
        <w:trPr>
          <w:jc w:val="center"/>
        </w:trPr>
        <w:tc>
          <w:tcPr>
            <w:tcW w:w="1990" w:type="dxa"/>
          </w:tcPr>
          <w:p w:rsidR="008C161F" w:rsidRPr="00F36418" w:rsidRDefault="008C161F" w:rsidP="009A1B75">
            <w:pPr>
              <w:widowControl w:val="0"/>
              <w:suppressAutoHyphens/>
              <w:spacing w:line="276" w:lineRule="auto"/>
              <w:jc w:val="center"/>
            </w:pPr>
            <w:r w:rsidRPr="00F36418">
              <w:t>6 yaş – 12 yaş</w:t>
            </w:r>
          </w:p>
        </w:tc>
        <w:tc>
          <w:tcPr>
            <w:tcW w:w="2129" w:type="dxa"/>
          </w:tcPr>
          <w:p w:rsidR="008C161F" w:rsidRPr="00F36418" w:rsidRDefault="008C161F" w:rsidP="009A1B75">
            <w:pPr>
              <w:widowControl w:val="0"/>
              <w:suppressAutoHyphens/>
              <w:spacing w:line="276" w:lineRule="auto"/>
              <w:jc w:val="center"/>
            </w:pPr>
            <w:r w:rsidRPr="00F36418">
              <w:t>12 saate bir 5,0 ml</w:t>
            </w:r>
          </w:p>
        </w:tc>
      </w:tr>
    </w:tbl>
    <w:p w:rsidR="00F114CC" w:rsidRPr="00F36418" w:rsidRDefault="00F114CC" w:rsidP="009A1B75">
      <w:pPr>
        <w:widowControl w:val="0"/>
        <w:suppressAutoHyphens/>
        <w:spacing w:line="276" w:lineRule="auto"/>
        <w:jc w:val="both"/>
      </w:pPr>
    </w:p>
    <w:p w:rsidR="00FD7DB3" w:rsidRPr="00F36418" w:rsidRDefault="00FD7DB3" w:rsidP="009A1B75">
      <w:pPr>
        <w:widowControl w:val="0"/>
        <w:suppressAutoHyphens/>
        <w:spacing w:line="276" w:lineRule="auto"/>
        <w:jc w:val="both"/>
        <w:rPr>
          <w:b/>
        </w:rPr>
      </w:pPr>
      <w:r w:rsidRPr="00F36418">
        <w:rPr>
          <w:b/>
        </w:rPr>
        <w:t>Uygulama sıklığı ve süresi:</w:t>
      </w:r>
    </w:p>
    <w:p w:rsidR="00300EE5" w:rsidRPr="00F36418" w:rsidRDefault="00300EE5" w:rsidP="009A1B75">
      <w:pPr>
        <w:widowControl w:val="0"/>
        <w:suppressAutoHyphens/>
        <w:spacing w:line="276" w:lineRule="auto"/>
        <w:jc w:val="both"/>
        <w:rPr>
          <w:b/>
        </w:rPr>
      </w:pPr>
      <w:r w:rsidRPr="00F36418">
        <w:t xml:space="preserve">Genel bir kural olarak </w:t>
      </w:r>
      <w:r w:rsidR="00C73BE2" w:rsidRPr="00F36418">
        <w:t>BACTRİM</w:t>
      </w:r>
      <w:r w:rsidRPr="00F36418">
        <w:t xml:space="preserve">'in parenteral formülasyonları oral tedavinin mümkün olmadığı hallerde verilmelidir. Standart doz arka arkaya 5 günden fazla, maksimum doz da 3 günden fazla kullanılmamalıdır. </w:t>
      </w:r>
    </w:p>
    <w:p w:rsidR="00FD7DB3" w:rsidRPr="00F36418" w:rsidRDefault="00FD7DB3" w:rsidP="009A1B75">
      <w:pPr>
        <w:widowControl w:val="0"/>
        <w:suppressAutoHyphens/>
        <w:spacing w:line="276" w:lineRule="auto"/>
        <w:jc w:val="both"/>
      </w:pPr>
    </w:p>
    <w:p w:rsidR="008A1E76" w:rsidRPr="00F36418" w:rsidRDefault="008A1E76" w:rsidP="009A1B75">
      <w:pPr>
        <w:widowControl w:val="0"/>
        <w:suppressAutoHyphens/>
        <w:spacing w:line="276" w:lineRule="auto"/>
        <w:jc w:val="both"/>
        <w:rPr>
          <w:b/>
        </w:rPr>
      </w:pPr>
      <w:r w:rsidRPr="00F36418">
        <w:rPr>
          <w:b/>
        </w:rPr>
        <w:t>Uygulama şekli:</w:t>
      </w:r>
    </w:p>
    <w:p w:rsidR="00300EE5" w:rsidRPr="00F36418" w:rsidRDefault="00C73BE2" w:rsidP="009A1B75">
      <w:pPr>
        <w:widowControl w:val="0"/>
        <w:suppressAutoHyphens/>
        <w:spacing w:line="276" w:lineRule="auto"/>
        <w:jc w:val="both"/>
      </w:pPr>
      <w:r w:rsidRPr="00F36418">
        <w:t>BACTRİM</w:t>
      </w:r>
      <w:r w:rsidR="00300EE5" w:rsidRPr="00F36418">
        <w:t xml:space="preserve"> uygulanmadan önce seyreltilmelidir. Dilüsyon için kullanılabilecek </w:t>
      </w:r>
      <w:r w:rsidR="00EA76D3" w:rsidRPr="00F36418">
        <w:t>infüzyon</w:t>
      </w:r>
      <w:r w:rsidR="00300EE5" w:rsidRPr="00F36418">
        <w:t xml:space="preserve"> solüsyonları: %5 ve %10 dekstroz, %10 ksilitol, Ringer solüsyonu (USP XVIII), Macrodex</w:t>
      </w:r>
      <w:r w:rsidR="00300EE5" w:rsidRPr="00F36418">
        <w:sym w:font="Symbol" w:char="F0E2"/>
      </w:r>
      <w:r w:rsidR="00300EE5" w:rsidRPr="00F36418">
        <w:t xml:space="preserve"> (%5’lik dekstroz içinde %</w:t>
      </w:r>
      <w:proofErr w:type="gramStart"/>
      <w:r w:rsidR="00300EE5" w:rsidRPr="00F36418">
        <w:t>70.6</w:t>
      </w:r>
      <w:proofErr w:type="gramEnd"/>
      <w:r w:rsidR="00300EE5" w:rsidRPr="00F36418">
        <w:t xml:space="preserve"> dekstran), %0.9 sodyum klorür, %0.45 sodyum klorür + %2.5 dekstroz.</w:t>
      </w:r>
    </w:p>
    <w:p w:rsidR="00180DB0" w:rsidRPr="00F36418" w:rsidRDefault="00180DB0" w:rsidP="009A1B75">
      <w:pPr>
        <w:widowControl w:val="0"/>
        <w:suppressAutoHyphens/>
        <w:spacing w:line="276" w:lineRule="auto"/>
        <w:jc w:val="both"/>
      </w:pPr>
    </w:p>
    <w:p w:rsidR="00300EE5" w:rsidRPr="00F36418" w:rsidRDefault="00300EE5" w:rsidP="009A1B75">
      <w:pPr>
        <w:widowControl w:val="0"/>
        <w:suppressAutoHyphens/>
        <w:spacing w:line="276" w:lineRule="auto"/>
        <w:jc w:val="both"/>
      </w:pPr>
      <w:r w:rsidRPr="00F36418">
        <w:t xml:space="preserve">Aşağıdaki, 1 ml </w:t>
      </w:r>
      <w:r w:rsidR="00C73BE2" w:rsidRPr="00F36418">
        <w:t>BACTRİM</w:t>
      </w:r>
      <w:r w:rsidRPr="00F36418">
        <w:t xml:space="preserve"> ampul solüsyonuna 25-30 ml </w:t>
      </w:r>
      <w:r w:rsidR="00EA76D3" w:rsidRPr="00F36418">
        <w:t>infüzyon</w:t>
      </w:r>
      <w:r w:rsidRPr="00F36418">
        <w:t xml:space="preserve"> solüsyonu oranına dayanan minimum dilüsyon şemasına uymak önemlidir:</w:t>
      </w:r>
    </w:p>
    <w:p w:rsidR="00300EE5" w:rsidRPr="00F36418" w:rsidRDefault="00300EE5" w:rsidP="009A1B75">
      <w:pPr>
        <w:widowControl w:val="0"/>
        <w:suppressAutoHyphens/>
        <w:spacing w:line="276" w:lineRule="auto"/>
        <w:jc w:val="both"/>
      </w:pPr>
      <w:r w:rsidRPr="00F36418">
        <w:t xml:space="preserve">1 ampul </w:t>
      </w:r>
      <w:r w:rsidR="00C73BE2" w:rsidRPr="00F36418">
        <w:t>BACTRİM</w:t>
      </w:r>
      <w:r w:rsidRPr="00F36418">
        <w:t xml:space="preserve"> (5 ml)’e 125 ml </w:t>
      </w:r>
      <w:r w:rsidR="00EA76D3" w:rsidRPr="00F36418">
        <w:t>infüzyon</w:t>
      </w:r>
      <w:r w:rsidRPr="00F36418">
        <w:t xml:space="preserve"> solüsyonu</w:t>
      </w:r>
    </w:p>
    <w:p w:rsidR="00300EE5" w:rsidRPr="00F36418" w:rsidRDefault="00300EE5" w:rsidP="009A1B75">
      <w:pPr>
        <w:widowControl w:val="0"/>
        <w:suppressAutoHyphens/>
        <w:spacing w:line="276" w:lineRule="auto"/>
        <w:jc w:val="both"/>
      </w:pPr>
      <w:r w:rsidRPr="00F36418">
        <w:t xml:space="preserve">2 ampul </w:t>
      </w:r>
      <w:r w:rsidR="00C73BE2" w:rsidRPr="00F36418">
        <w:t>BACTRİM</w:t>
      </w:r>
      <w:r w:rsidRPr="00F36418">
        <w:t xml:space="preserve"> (10 ml)’e 250 ml </w:t>
      </w:r>
      <w:r w:rsidR="00EA76D3" w:rsidRPr="00F36418">
        <w:t>infüzyon</w:t>
      </w:r>
      <w:r w:rsidRPr="00F36418">
        <w:t xml:space="preserve"> solüsyonu</w:t>
      </w:r>
    </w:p>
    <w:p w:rsidR="00300EE5" w:rsidRPr="00F36418" w:rsidRDefault="00300EE5" w:rsidP="009A1B75">
      <w:pPr>
        <w:widowControl w:val="0"/>
        <w:suppressAutoHyphens/>
        <w:spacing w:line="276" w:lineRule="auto"/>
        <w:jc w:val="both"/>
      </w:pPr>
      <w:r w:rsidRPr="00F36418">
        <w:t xml:space="preserve">3 ampul </w:t>
      </w:r>
      <w:r w:rsidR="00C73BE2" w:rsidRPr="00F36418">
        <w:t>BACTRİM</w:t>
      </w:r>
      <w:r w:rsidRPr="00F36418">
        <w:t xml:space="preserve"> (15 ml)’e 500 ml </w:t>
      </w:r>
      <w:r w:rsidR="00EA76D3" w:rsidRPr="00F36418">
        <w:t>infüzyon</w:t>
      </w:r>
      <w:r w:rsidRPr="00F36418">
        <w:t xml:space="preserve"> solüsyonu. </w:t>
      </w:r>
      <w:r w:rsidR="00C73BE2" w:rsidRPr="00F36418">
        <w:t>BACTRİM</w:t>
      </w:r>
      <w:r w:rsidRPr="00F36418">
        <w:t xml:space="preserve"> ile karışımlar kullanımdan hemen önce hazırlanmalıdır. </w:t>
      </w:r>
      <w:r w:rsidR="00EA76D3" w:rsidRPr="00F36418">
        <w:t>İnfüzyon</w:t>
      </w:r>
      <w:r w:rsidRPr="00F36418">
        <w:t xml:space="preserve"> solüsyonuna </w:t>
      </w:r>
      <w:r w:rsidR="00C73BE2" w:rsidRPr="00F36418">
        <w:t>BACTRİM</w:t>
      </w:r>
      <w:r w:rsidRPr="00F36418">
        <w:t xml:space="preserve">’in eklenmesinden sonra iyi karışmasını sağlamak için karışım sallanmalı ya da çevrilmelidir. </w:t>
      </w:r>
      <w:r w:rsidR="00EA76D3" w:rsidRPr="00F36418">
        <w:t>İnfüzyon</w:t>
      </w:r>
      <w:r w:rsidRPr="00F36418">
        <w:t xml:space="preserve">dan önce ya da </w:t>
      </w:r>
      <w:r w:rsidR="00EA76D3" w:rsidRPr="00F36418">
        <w:t>infüzyon</w:t>
      </w:r>
      <w:r w:rsidRPr="00F36418">
        <w:t xml:space="preserve"> sırasında türbidite ya da kristalleşme görülürse solüsyon hemen hazırlanan yenisi ile değiştirilmelidir. </w:t>
      </w:r>
      <w:r w:rsidR="00C73BE2" w:rsidRPr="00F36418">
        <w:t>BACTRİM</w:t>
      </w:r>
      <w:r w:rsidRPr="00F36418">
        <w:t xml:space="preserve"> ile hazırlanan </w:t>
      </w:r>
      <w:r w:rsidR="00EA76D3" w:rsidRPr="00F36418">
        <w:t>infüzyon</w:t>
      </w:r>
      <w:r w:rsidRPr="00F36418">
        <w:t xml:space="preserve"> solüsyonları hazırlandıktan sonraki 6 saat içinde kullanılmalıdır.</w:t>
      </w:r>
    </w:p>
    <w:p w:rsidR="00180DB0" w:rsidRPr="00F36418" w:rsidRDefault="00180DB0" w:rsidP="009A1B75">
      <w:pPr>
        <w:widowControl w:val="0"/>
        <w:suppressAutoHyphens/>
        <w:spacing w:line="276" w:lineRule="auto"/>
        <w:jc w:val="both"/>
      </w:pPr>
    </w:p>
    <w:p w:rsidR="00300EE5" w:rsidRPr="00F36418" w:rsidRDefault="00300EE5" w:rsidP="009A1B75">
      <w:pPr>
        <w:widowControl w:val="0"/>
        <w:suppressAutoHyphens/>
        <w:spacing w:line="276" w:lineRule="auto"/>
        <w:jc w:val="both"/>
      </w:pPr>
      <w:r w:rsidRPr="00F36418">
        <w:t xml:space="preserve">Sıvı kısıtlaması olan hastalarda dilüsyon oranları: Sıvı kısıtlaması gereken durumlarda her 5 ml </w:t>
      </w:r>
      <w:r w:rsidR="00C73BE2" w:rsidRPr="00F36418">
        <w:t>BACTRİM</w:t>
      </w:r>
      <w:r w:rsidRPr="00F36418">
        <w:t xml:space="preserve"> 75 ml %5 dekstroz, %</w:t>
      </w:r>
      <w:proofErr w:type="gramStart"/>
      <w:r w:rsidRPr="00F36418">
        <w:t>0.9</w:t>
      </w:r>
      <w:proofErr w:type="gramEnd"/>
      <w:r w:rsidRPr="00F36418">
        <w:t xml:space="preserve"> sodyum klorür ya da Ringer solüsyonuna eklenebilir. Solüsyon kullanımdan hemen önce hazırlanmalı ve oda ısısı ve loş ışık mevcudiyetinde 2 saat içinde uygulanmalıdır. Etkili kan düzeylerine ulaşılması için sıvının miktarına bağlı olarak </w:t>
      </w:r>
      <w:r w:rsidR="00EA76D3" w:rsidRPr="00F36418">
        <w:t>infüzyon</w:t>
      </w:r>
      <w:r w:rsidRPr="00F36418">
        <w:t xml:space="preserve"> süresi 1½ saati geçmemelidir. Normal süre 30-60 dakikadır.</w:t>
      </w:r>
    </w:p>
    <w:p w:rsidR="008A1E76" w:rsidRPr="00F36418" w:rsidRDefault="008A1E76" w:rsidP="009A1B75">
      <w:pPr>
        <w:suppressAutoHyphens/>
        <w:spacing w:line="276" w:lineRule="auto"/>
        <w:jc w:val="both"/>
        <w:rPr>
          <w:b/>
        </w:rPr>
      </w:pPr>
      <w:r w:rsidRPr="00F36418">
        <w:rPr>
          <w:b/>
        </w:rPr>
        <w:lastRenderedPageBreak/>
        <w:t xml:space="preserve">Özel </w:t>
      </w:r>
      <w:proofErr w:type="gramStart"/>
      <w:r w:rsidRPr="00F36418">
        <w:rPr>
          <w:b/>
        </w:rPr>
        <w:t>popülasyonlara</w:t>
      </w:r>
      <w:proofErr w:type="gramEnd"/>
      <w:r w:rsidRPr="00F36418">
        <w:rPr>
          <w:b/>
        </w:rPr>
        <w:t xml:space="preserve"> ilişkin ek bilgiler</w:t>
      </w:r>
    </w:p>
    <w:p w:rsidR="00C07C3C" w:rsidRPr="00F36418" w:rsidRDefault="00C07C3C" w:rsidP="009A1B75">
      <w:pPr>
        <w:widowControl w:val="0"/>
        <w:suppressAutoHyphens/>
        <w:spacing w:line="276" w:lineRule="auto"/>
        <w:jc w:val="both"/>
      </w:pPr>
      <w:r w:rsidRPr="00F36418">
        <w:rPr>
          <w:i/>
        </w:rPr>
        <w:t>Pneumocystis carinii</w:t>
      </w:r>
      <w:r w:rsidRPr="00F36418">
        <w:t xml:space="preserve"> pnömonisi olan hastalarda önerilen doz 20 mg/kg TMP ve 100 mg/kg SMZ'ün 24 saatlik dozlarının 6 saatte bir eşit dozlar halinde 14 gün boyunca verilmesidir. </w:t>
      </w:r>
    </w:p>
    <w:p w:rsidR="00414D74" w:rsidRPr="00F36418" w:rsidRDefault="00414D74" w:rsidP="009A1B75">
      <w:pPr>
        <w:widowControl w:val="0"/>
        <w:suppressAutoHyphens/>
        <w:spacing w:line="276" w:lineRule="auto"/>
        <w:jc w:val="both"/>
      </w:pPr>
    </w:p>
    <w:p w:rsidR="00C07C3C" w:rsidRPr="00F36418" w:rsidRDefault="00C07C3C" w:rsidP="009A1B75">
      <w:pPr>
        <w:widowControl w:val="0"/>
        <w:suppressAutoHyphens/>
        <w:spacing w:line="276" w:lineRule="auto"/>
        <w:jc w:val="both"/>
      </w:pPr>
      <w:r w:rsidRPr="00F36418">
        <w:t>Nocardiosis’li hastalar: Nocardiosis’li yetişkinler için önerilen doz en az 3 ay süreyle uygulanan 480-640 mg TMP ve 2400-3200 mg SMZ’dir. Bu dozun hastanın yaşı, ağırlığı, renal fonksiyonu ve hastalığın ciddiyetine göre ayarlanması gerekir. 18 aya kadar olan tedavi süresi bildirilmiştir.</w:t>
      </w:r>
    </w:p>
    <w:p w:rsidR="00414D74" w:rsidRPr="00F36418" w:rsidRDefault="00414D74" w:rsidP="009A1B75">
      <w:pPr>
        <w:widowControl w:val="0"/>
        <w:suppressAutoHyphens/>
        <w:spacing w:line="276" w:lineRule="auto"/>
        <w:jc w:val="both"/>
      </w:pPr>
    </w:p>
    <w:p w:rsidR="008A1E76" w:rsidRPr="00F36418" w:rsidRDefault="008A1E76" w:rsidP="009A1B75">
      <w:pPr>
        <w:suppressAutoHyphens/>
        <w:spacing w:line="276" w:lineRule="auto"/>
        <w:jc w:val="both"/>
        <w:rPr>
          <w:b/>
          <w:spacing w:val="-2"/>
        </w:rPr>
      </w:pPr>
      <w:r w:rsidRPr="00F36418">
        <w:rPr>
          <w:b/>
          <w:spacing w:val="-2"/>
        </w:rPr>
        <w:t>Karaciğer yetmezliği:</w:t>
      </w:r>
    </w:p>
    <w:p w:rsidR="008A1E76" w:rsidRPr="00F36418" w:rsidRDefault="008A1E76" w:rsidP="009A1B75">
      <w:pPr>
        <w:spacing w:line="276" w:lineRule="auto"/>
        <w:jc w:val="both"/>
      </w:pPr>
      <w:r w:rsidRPr="00F36418">
        <w:t>Karaciğer fonksiyonu bozuk olan hastalarda dozla ilişkili veri yoktur.</w:t>
      </w:r>
    </w:p>
    <w:p w:rsidR="00414D74" w:rsidRPr="00F36418" w:rsidRDefault="00414D74" w:rsidP="009A1B75">
      <w:pPr>
        <w:spacing w:line="276" w:lineRule="auto"/>
        <w:jc w:val="both"/>
      </w:pPr>
    </w:p>
    <w:p w:rsidR="008A1E76" w:rsidRPr="00F36418" w:rsidRDefault="008A1E76" w:rsidP="009A1B75">
      <w:pPr>
        <w:suppressAutoHyphens/>
        <w:spacing w:line="276" w:lineRule="auto"/>
        <w:jc w:val="both"/>
        <w:rPr>
          <w:b/>
          <w:spacing w:val="-2"/>
        </w:rPr>
      </w:pPr>
      <w:r w:rsidRPr="00F36418">
        <w:rPr>
          <w:b/>
          <w:spacing w:val="-2"/>
        </w:rPr>
        <w:t>Böbrek yetmezliği:</w:t>
      </w:r>
    </w:p>
    <w:p w:rsidR="00582858" w:rsidRPr="00F36418" w:rsidRDefault="0070391C" w:rsidP="009A1B75">
      <w:pPr>
        <w:widowControl w:val="0"/>
        <w:suppressAutoHyphens/>
        <w:spacing w:line="276" w:lineRule="auto"/>
        <w:jc w:val="both"/>
      </w:pPr>
      <w:r w:rsidRPr="00F36418">
        <w:t>Böbrek fonksiyonu bozulmuş olan hastalarda a</w:t>
      </w:r>
      <w:r w:rsidR="00582858" w:rsidRPr="00F36418">
        <w:t xml:space="preserve">şağıdaki </w:t>
      </w:r>
      <w:r w:rsidRPr="00F36418">
        <w:t>doz şeması tavsiye edilmektedir:</w:t>
      </w:r>
    </w:p>
    <w:p w:rsidR="0070391C" w:rsidRPr="00F36418" w:rsidRDefault="0070391C" w:rsidP="009A1B75">
      <w:pPr>
        <w:widowControl w:val="0"/>
        <w:suppressAutoHyphens/>
        <w:spacing w:line="276" w:lineRule="auto"/>
        <w:jc w:val="both"/>
      </w:pPr>
    </w:p>
    <w:p w:rsidR="00582858" w:rsidRPr="00F36418" w:rsidRDefault="00582858" w:rsidP="009A1B7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suppressAutoHyphens/>
        <w:spacing w:line="276" w:lineRule="auto"/>
        <w:jc w:val="both"/>
        <w:rPr>
          <w:rFonts w:ascii="Arial" w:hAnsi="Arial" w:cs="Arial"/>
          <w:spacing w:val="-2"/>
        </w:rPr>
      </w:pPr>
      <w:r w:rsidRPr="00F36418">
        <w:rPr>
          <w:b/>
        </w:rPr>
        <w:t>Kreatinin klirensi</w:t>
      </w:r>
      <w:r w:rsidRPr="00F36418">
        <w:rPr>
          <w:b/>
        </w:rPr>
        <w:tab/>
      </w:r>
      <w:r w:rsidRPr="00F36418">
        <w:rPr>
          <w:rFonts w:ascii="Arial" w:hAnsi="Arial" w:cs="Arial"/>
          <w:spacing w:val="-2"/>
        </w:rPr>
        <w:tab/>
      </w:r>
      <w:r w:rsidRPr="00F36418">
        <w:tab/>
      </w:r>
      <w:r w:rsidRPr="00F36418">
        <w:tab/>
      </w:r>
      <w:r w:rsidRPr="00F36418">
        <w:rPr>
          <w:b/>
        </w:rPr>
        <w:t>Önerilen doz şeması</w:t>
      </w:r>
    </w:p>
    <w:p w:rsidR="00582858" w:rsidRPr="00F36418" w:rsidRDefault="00582858" w:rsidP="009A1B7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suppressAutoHyphens/>
        <w:spacing w:line="276" w:lineRule="auto"/>
        <w:jc w:val="both"/>
      </w:pPr>
      <w:r w:rsidRPr="00F36418">
        <w:t>30 ml/dak'nın üzerinde</w:t>
      </w:r>
      <w:r w:rsidRPr="00F36418">
        <w:tab/>
      </w:r>
      <w:r w:rsidRPr="00F36418">
        <w:tab/>
      </w:r>
      <w:r w:rsidRPr="00F36418">
        <w:tab/>
        <w:t>Standart doz</w:t>
      </w:r>
    </w:p>
    <w:p w:rsidR="00582858" w:rsidRPr="00F36418" w:rsidRDefault="00582858" w:rsidP="009A1B7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suppressAutoHyphens/>
        <w:spacing w:line="276" w:lineRule="auto"/>
        <w:jc w:val="both"/>
      </w:pPr>
      <w:r w:rsidRPr="00F36418">
        <w:t>15-30 ml/dak</w:t>
      </w:r>
      <w:r w:rsidRPr="00F36418">
        <w:tab/>
      </w:r>
      <w:r w:rsidRPr="00F36418">
        <w:tab/>
      </w:r>
      <w:r w:rsidRPr="00F36418">
        <w:tab/>
      </w:r>
      <w:r w:rsidRPr="00F36418">
        <w:tab/>
      </w:r>
      <w:r w:rsidRPr="00F36418">
        <w:tab/>
        <w:t>Standart dozun yarısı</w:t>
      </w:r>
    </w:p>
    <w:p w:rsidR="00582858" w:rsidRPr="00F36418" w:rsidRDefault="00582858" w:rsidP="009A1B7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suppressAutoHyphens/>
        <w:spacing w:line="276" w:lineRule="auto"/>
        <w:jc w:val="both"/>
      </w:pPr>
      <w:r w:rsidRPr="00F36418">
        <w:t>15 ml/dak'dan az</w:t>
      </w:r>
      <w:r w:rsidRPr="00F36418">
        <w:tab/>
      </w:r>
      <w:r w:rsidRPr="00F36418">
        <w:tab/>
      </w:r>
      <w:r w:rsidRPr="00F36418">
        <w:tab/>
      </w:r>
      <w:r w:rsidRPr="00F36418">
        <w:tab/>
      </w:r>
      <w:r w:rsidR="00C73BE2" w:rsidRPr="00F36418">
        <w:t>BACTRİM</w:t>
      </w:r>
      <w:r w:rsidRPr="00F36418">
        <w:t xml:space="preserve"> kullanılması tavsiye edilmez.</w:t>
      </w:r>
    </w:p>
    <w:p w:rsidR="008A1E76" w:rsidRPr="00F36418" w:rsidRDefault="008A1E76" w:rsidP="009A1B75">
      <w:pPr>
        <w:tabs>
          <w:tab w:val="left" w:pos="-1440"/>
          <w:tab w:val="left" w:pos="-720"/>
          <w:tab w:val="left" w:pos="284"/>
        </w:tabs>
        <w:suppressAutoHyphens/>
        <w:spacing w:line="276" w:lineRule="auto"/>
        <w:jc w:val="both"/>
        <w:rPr>
          <w:iCs/>
          <w:spacing w:val="-2"/>
        </w:rPr>
      </w:pPr>
    </w:p>
    <w:p w:rsidR="008A1E76" w:rsidRPr="00F36418" w:rsidRDefault="008A1E76" w:rsidP="009A1B75">
      <w:pPr>
        <w:tabs>
          <w:tab w:val="left" w:pos="-1440"/>
          <w:tab w:val="left" w:pos="-720"/>
          <w:tab w:val="left" w:pos="284"/>
        </w:tabs>
        <w:suppressAutoHyphens/>
        <w:spacing w:line="276" w:lineRule="auto"/>
        <w:jc w:val="both"/>
        <w:rPr>
          <w:b/>
          <w:iCs/>
          <w:spacing w:val="-2"/>
        </w:rPr>
      </w:pPr>
      <w:r w:rsidRPr="00F36418">
        <w:rPr>
          <w:b/>
          <w:iCs/>
          <w:spacing w:val="-2"/>
        </w:rPr>
        <w:t xml:space="preserve">Pediyatrik </w:t>
      </w:r>
      <w:proofErr w:type="gramStart"/>
      <w:r w:rsidRPr="00F36418">
        <w:rPr>
          <w:b/>
          <w:iCs/>
          <w:spacing w:val="-2"/>
        </w:rPr>
        <w:t>popülasyon</w:t>
      </w:r>
      <w:proofErr w:type="gramEnd"/>
      <w:r w:rsidRPr="00F36418">
        <w:rPr>
          <w:b/>
          <w:iCs/>
          <w:spacing w:val="-2"/>
        </w:rPr>
        <w:t>:</w:t>
      </w:r>
    </w:p>
    <w:p w:rsidR="004370D1" w:rsidRPr="00F36418" w:rsidRDefault="004370D1" w:rsidP="009A1B75">
      <w:pPr>
        <w:autoSpaceDE w:val="0"/>
        <w:autoSpaceDN w:val="0"/>
        <w:adjustRightInd w:val="0"/>
        <w:spacing w:line="276" w:lineRule="auto"/>
        <w:jc w:val="both"/>
        <w:rPr>
          <w:lang w:eastAsia="tr-TR"/>
        </w:rPr>
      </w:pPr>
      <w:r w:rsidRPr="00F36418">
        <w:rPr>
          <w:lang w:eastAsia="tr-TR"/>
        </w:rPr>
        <w:t>Ortalama doz sabah ve akşam olmak üzere 2 eşit doz bölünerek uygulanan günlük 2 ml/5 kg.</w:t>
      </w:r>
    </w:p>
    <w:p w:rsidR="004370D1" w:rsidRPr="00F36418" w:rsidRDefault="004370D1" w:rsidP="009A1B75">
      <w:pPr>
        <w:autoSpaceDE w:val="0"/>
        <w:autoSpaceDN w:val="0"/>
        <w:adjustRightInd w:val="0"/>
        <w:spacing w:line="276" w:lineRule="auto"/>
        <w:jc w:val="both"/>
        <w:rPr>
          <w:lang w:eastAsia="tr-TR"/>
        </w:rPr>
      </w:pPr>
      <w:r w:rsidRPr="00F36418">
        <w:rPr>
          <w:lang w:eastAsia="tr-TR"/>
        </w:rPr>
        <w:t>Bu nedenle çocuklarda önerilen doz günlük 6 mg/kg TMP ve 30 mg/kg SMZ.</w:t>
      </w:r>
    </w:p>
    <w:p w:rsidR="004370D1" w:rsidRPr="00F36418" w:rsidRDefault="004370D1" w:rsidP="009A1B75">
      <w:pPr>
        <w:tabs>
          <w:tab w:val="left" w:pos="-1440"/>
          <w:tab w:val="left" w:pos="-720"/>
          <w:tab w:val="left" w:pos="284"/>
        </w:tabs>
        <w:suppressAutoHyphens/>
        <w:spacing w:line="276" w:lineRule="auto"/>
        <w:jc w:val="both"/>
        <w:rPr>
          <w:b/>
          <w:iCs/>
          <w:spacing w:val="-2"/>
        </w:rPr>
      </w:pPr>
    </w:p>
    <w:p w:rsidR="008A1E76" w:rsidRPr="00F36418" w:rsidRDefault="008A1E76" w:rsidP="009A1B75">
      <w:pPr>
        <w:tabs>
          <w:tab w:val="left" w:pos="-1440"/>
          <w:tab w:val="left" w:pos="-720"/>
          <w:tab w:val="left" w:pos="284"/>
        </w:tabs>
        <w:suppressAutoHyphens/>
        <w:spacing w:line="276" w:lineRule="auto"/>
        <w:jc w:val="both"/>
        <w:rPr>
          <w:b/>
          <w:iCs/>
          <w:spacing w:val="-2"/>
        </w:rPr>
      </w:pPr>
      <w:r w:rsidRPr="00F36418">
        <w:rPr>
          <w:b/>
          <w:iCs/>
          <w:spacing w:val="-2"/>
        </w:rPr>
        <w:t xml:space="preserve">Geriyatrik </w:t>
      </w:r>
      <w:proofErr w:type="gramStart"/>
      <w:r w:rsidRPr="00F36418">
        <w:rPr>
          <w:b/>
          <w:iCs/>
          <w:spacing w:val="-2"/>
        </w:rPr>
        <w:t>popülasyon</w:t>
      </w:r>
      <w:proofErr w:type="gramEnd"/>
      <w:r w:rsidRPr="00F36418">
        <w:rPr>
          <w:b/>
          <w:iCs/>
          <w:spacing w:val="-2"/>
        </w:rPr>
        <w:t>:</w:t>
      </w:r>
    </w:p>
    <w:p w:rsidR="008A1E76" w:rsidRPr="00F36418" w:rsidRDefault="00BE61F7" w:rsidP="009A1B75">
      <w:pPr>
        <w:tabs>
          <w:tab w:val="left" w:pos="-1440"/>
          <w:tab w:val="left" w:pos="-720"/>
          <w:tab w:val="left" w:pos="284"/>
        </w:tabs>
        <w:suppressAutoHyphens/>
        <w:spacing w:line="276" w:lineRule="auto"/>
        <w:jc w:val="both"/>
        <w:rPr>
          <w:rFonts w:eastAsia="Calibri"/>
          <w:lang w:eastAsia="en-US"/>
        </w:rPr>
      </w:pPr>
      <w:r w:rsidRPr="00F36418">
        <w:rPr>
          <w:rFonts w:eastAsia="Calibri"/>
          <w:lang w:eastAsia="en-US"/>
        </w:rPr>
        <w:t>Renal fonksiyonu normal olan yaşlı hastalarda yetişkin dozu uygulanmalıdır.</w:t>
      </w:r>
    </w:p>
    <w:p w:rsidR="00EE45AC" w:rsidRPr="00F36418" w:rsidRDefault="00EE45AC" w:rsidP="009A1B75">
      <w:pPr>
        <w:spacing w:line="276" w:lineRule="auto"/>
        <w:jc w:val="both"/>
        <w:rPr>
          <w:b/>
        </w:rPr>
      </w:pPr>
    </w:p>
    <w:p w:rsidR="008A1E76" w:rsidRPr="00F36418" w:rsidRDefault="008A1E76" w:rsidP="009A1B75">
      <w:pPr>
        <w:spacing w:line="276" w:lineRule="auto"/>
        <w:jc w:val="both"/>
        <w:rPr>
          <w:b/>
        </w:rPr>
      </w:pPr>
      <w:r w:rsidRPr="00F36418">
        <w:rPr>
          <w:b/>
        </w:rPr>
        <w:t>4.3. Kontrendikasyonlar</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BACTRİM:</w:t>
      </w:r>
    </w:p>
    <w:p w:rsidR="008C161F" w:rsidRPr="00F36418" w:rsidRDefault="008C161F" w:rsidP="009A1B75">
      <w:pPr>
        <w:pStyle w:val="ListeParagraf1"/>
        <w:numPr>
          <w:ilvl w:val="0"/>
          <w:numId w:val="5"/>
        </w:numPr>
        <w:tabs>
          <w:tab w:val="clear" w:pos="720"/>
          <w:tab w:val="num" w:pos="284"/>
        </w:tabs>
        <w:spacing w:after="0"/>
        <w:ind w:left="284" w:hanging="284"/>
        <w:jc w:val="both"/>
        <w:rPr>
          <w:rFonts w:ascii="Times New Roman" w:hAnsi="Times New Roman"/>
          <w:sz w:val="24"/>
        </w:rPr>
      </w:pPr>
      <w:r w:rsidRPr="00F36418">
        <w:rPr>
          <w:rFonts w:ascii="Times New Roman" w:hAnsi="Times New Roman"/>
          <w:sz w:val="24"/>
        </w:rPr>
        <w:t>Sülfonamidlere, trimetoprime, ko-trimoksazole veya BACTRİM’in içindeki yardımcı maddelerden herhangi birisine karşı aşırı duyarlılık öyküsü olan hastalara verilmemelidir.</w:t>
      </w:r>
    </w:p>
    <w:p w:rsidR="008C161F" w:rsidRPr="00F36418" w:rsidRDefault="008C161F" w:rsidP="009A1B75">
      <w:pPr>
        <w:pStyle w:val="ListeParagraf1"/>
        <w:numPr>
          <w:ilvl w:val="0"/>
          <w:numId w:val="5"/>
        </w:numPr>
        <w:tabs>
          <w:tab w:val="clear" w:pos="720"/>
          <w:tab w:val="num" w:pos="284"/>
        </w:tabs>
        <w:spacing w:after="0"/>
        <w:ind w:left="284" w:hanging="284"/>
        <w:jc w:val="both"/>
        <w:rPr>
          <w:rFonts w:ascii="Times New Roman" w:hAnsi="Times New Roman"/>
          <w:sz w:val="24"/>
        </w:rPr>
      </w:pPr>
      <w:r w:rsidRPr="00F36418">
        <w:rPr>
          <w:rFonts w:ascii="Times New Roman" w:hAnsi="Times New Roman"/>
          <w:sz w:val="24"/>
        </w:rPr>
        <w:t>Karaciğerde belirgin parenkimal hasarı olan hastalarda kontrendikedir.</w:t>
      </w:r>
    </w:p>
    <w:p w:rsidR="008C161F" w:rsidRPr="00F36418" w:rsidRDefault="008C161F" w:rsidP="009A1B75">
      <w:pPr>
        <w:pStyle w:val="ListeParagraf1"/>
        <w:numPr>
          <w:ilvl w:val="0"/>
          <w:numId w:val="5"/>
        </w:numPr>
        <w:tabs>
          <w:tab w:val="clear" w:pos="720"/>
          <w:tab w:val="num" w:pos="284"/>
        </w:tabs>
        <w:spacing w:after="0"/>
        <w:ind w:left="284" w:hanging="284"/>
        <w:jc w:val="both"/>
        <w:rPr>
          <w:rFonts w:ascii="Times New Roman" w:hAnsi="Times New Roman"/>
          <w:sz w:val="24"/>
        </w:rPr>
      </w:pPr>
      <w:r w:rsidRPr="00F36418">
        <w:rPr>
          <w:rFonts w:ascii="Times New Roman" w:hAnsi="Times New Roman"/>
          <w:sz w:val="24"/>
        </w:rPr>
        <w:t xml:space="preserve">Plazma </w:t>
      </w:r>
      <w:proofErr w:type="gramStart"/>
      <w:r w:rsidRPr="00F36418">
        <w:rPr>
          <w:rFonts w:ascii="Times New Roman" w:hAnsi="Times New Roman"/>
          <w:sz w:val="24"/>
        </w:rPr>
        <w:t>konsantrasyonunun</w:t>
      </w:r>
      <w:proofErr w:type="gramEnd"/>
      <w:r w:rsidRPr="00F36418">
        <w:rPr>
          <w:rFonts w:ascii="Times New Roman" w:hAnsi="Times New Roman"/>
          <w:sz w:val="24"/>
        </w:rPr>
        <w:t xml:space="preserve"> tekrarlanan ölçümlerinin yapılamadığı ciddi böbrek yetmezliği olan hastalarda kontrendikedir.</w:t>
      </w:r>
    </w:p>
    <w:p w:rsidR="008C161F" w:rsidRPr="00F36418" w:rsidRDefault="008C161F" w:rsidP="009A1B75">
      <w:pPr>
        <w:pStyle w:val="ListeParagraf1"/>
        <w:numPr>
          <w:ilvl w:val="0"/>
          <w:numId w:val="5"/>
        </w:numPr>
        <w:tabs>
          <w:tab w:val="clear" w:pos="720"/>
          <w:tab w:val="num" w:pos="284"/>
        </w:tabs>
        <w:spacing w:after="0"/>
        <w:ind w:left="284" w:hanging="284"/>
        <w:jc w:val="both"/>
        <w:rPr>
          <w:rFonts w:ascii="Times New Roman" w:hAnsi="Times New Roman"/>
          <w:sz w:val="24"/>
        </w:rPr>
      </w:pPr>
      <w:r w:rsidRPr="00F36418">
        <w:rPr>
          <w:rFonts w:ascii="Times New Roman" w:hAnsi="Times New Roman"/>
          <w:sz w:val="24"/>
        </w:rPr>
        <w:t xml:space="preserve">4 haftalık ve daha büyük olan bebeklerde PCP tedavi/profilaksisi hariç olmak üzere prematüre bebeklere ve miyadında doğan bebeklere ise yaşamın ilk 6 ayı içinde uygulanmamalıdır. </w:t>
      </w:r>
    </w:p>
    <w:p w:rsidR="008C161F" w:rsidRPr="00F36418" w:rsidRDefault="008C161F" w:rsidP="009A1B75">
      <w:pPr>
        <w:spacing w:line="276" w:lineRule="auto"/>
        <w:jc w:val="both"/>
        <w:rPr>
          <w:b/>
        </w:rPr>
      </w:pPr>
    </w:p>
    <w:p w:rsidR="008A1E76" w:rsidRPr="00F36418" w:rsidRDefault="008A1E76" w:rsidP="009A1B75">
      <w:pPr>
        <w:spacing w:line="276" w:lineRule="auto"/>
        <w:jc w:val="both"/>
        <w:rPr>
          <w:b/>
        </w:rPr>
      </w:pPr>
      <w:r w:rsidRPr="00F36418">
        <w:rPr>
          <w:b/>
        </w:rPr>
        <w:t>4.4</w:t>
      </w:r>
      <w:r w:rsidR="00180DB0" w:rsidRPr="00F36418">
        <w:rPr>
          <w:b/>
        </w:rPr>
        <w:t>.</w:t>
      </w:r>
      <w:r w:rsidRPr="00F36418">
        <w:rPr>
          <w:b/>
        </w:rPr>
        <w:t xml:space="preserve"> Özel kullanım uyarıları ve önlemleri</w:t>
      </w:r>
    </w:p>
    <w:p w:rsidR="008C161F"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Çok nadir olmasına rağmen, Stevens-Johnson </w:t>
      </w:r>
      <w:proofErr w:type="gramStart"/>
      <w:r w:rsidRPr="00F36418">
        <w:rPr>
          <w:rFonts w:ascii="Times New Roman" w:hAnsi="Times New Roman"/>
          <w:sz w:val="24"/>
        </w:rPr>
        <w:t>sendromu</w:t>
      </w:r>
      <w:proofErr w:type="gramEnd"/>
      <w:r w:rsidRPr="00F36418">
        <w:rPr>
          <w:rFonts w:ascii="Times New Roman" w:hAnsi="Times New Roman"/>
          <w:sz w:val="24"/>
        </w:rPr>
        <w:t xml:space="preserve">, Lyell sendromu (toksik epidermal nekroliz), fulminan hepatik nekroz, agranülositoz, aplastik anemi, diğer kan </w:t>
      </w:r>
      <w:bookmarkStart w:id="6" w:name="OLE_LINK21"/>
      <w:bookmarkStart w:id="7" w:name="OLE_LINK22"/>
      <w:r w:rsidRPr="00F36418">
        <w:rPr>
          <w:rFonts w:ascii="Times New Roman" w:hAnsi="Times New Roman"/>
          <w:sz w:val="24"/>
        </w:rPr>
        <w:t xml:space="preserve">diskrazileri </w:t>
      </w:r>
      <w:bookmarkEnd w:id="6"/>
      <w:bookmarkEnd w:id="7"/>
      <w:r w:rsidRPr="00F36418">
        <w:rPr>
          <w:rFonts w:ascii="Times New Roman" w:hAnsi="Times New Roman"/>
          <w:sz w:val="24"/>
        </w:rPr>
        <w:t xml:space="preserve">ve solunum yollarında aşırı duyarlılık gibi şiddetli reaksiyonlara bağlı olarak ölümler olmuştur. </w:t>
      </w:r>
    </w:p>
    <w:p w:rsidR="00EC7732" w:rsidRPr="0072764C" w:rsidRDefault="00EC7732" w:rsidP="00EC7732">
      <w:pPr>
        <w:pStyle w:val="ListeParagraf1"/>
        <w:spacing w:after="0"/>
        <w:ind w:left="0"/>
        <w:jc w:val="both"/>
        <w:rPr>
          <w:rFonts w:ascii="Times New Roman" w:hAnsi="Times New Roman"/>
          <w:color w:val="0070C0"/>
          <w:sz w:val="24"/>
        </w:rPr>
      </w:pPr>
      <w:r w:rsidRPr="0072764C">
        <w:rPr>
          <w:rFonts w:ascii="Times New Roman" w:hAnsi="Times New Roman"/>
          <w:color w:val="0070C0"/>
          <w:sz w:val="24"/>
        </w:rPr>
        <w:t>Tedavinin ilk haftasında hastalar uyarılmalıdır.</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lastRenderedPageBreak/>
        <w:t xml:space="preserve">Cilt döküntüsü görülür görülmez BACTRİM kesilmelidir </w:t>
      </w:r>
      <w:r w:rsidR="00A02A0F" w:rsidRPr="0072764C">
        <w:rPr>
          <w:rFonts w:ascii="Times New Roman" w:hAnsi="Times New Roman"/>
          <w:color w:val="0070C0"/>
          <w:sz w:val="24"/>
        </w:rPr>
        <w:t>ve yeniden başlanmamalıdır</w:t>
      </w:r>
      <w:r w:rsidR="00A02A0F">
        <w:rPr>
          <w:rFonts w:ascii="Times New Roman" w:hAnsi="Times New Roman"/>
          <w:color w:val="0070C0"/>
          <w:sz w:val="24"/>
        </w:rPr>
        <w:t xml:space="preserve"> </w:t>
      </w:r>
      <w:r w:rsidRPr="00F36418">
        <w:rPr>
          <w:rFonts w:ascii="Times New Roman" w:hAnsi="Times New Roman"/>
          <w:sz w:val="24"/>
        </w:rPr>
        <w:t xml:space="preserve">(bkz. </w:t>
      </w:r>
      <w:proofErr w:type="gramStart"/>
      <w:r w:rsidRPr="00F36418">
        <w:rPr>
          <w:rFonts w:ascii="Times New Roman" w:hAnsi="Times New Roman"/>
          <w:sz w:val="24"/>
        </w:rPr>
        <w:t>4.8</w:t>
      </w:r>
      <w:proofErr w:type="gramEnd"/>
      <w:r w:rsidRPr="00F36418">
        <w:rPr>
          <w:rFonts w:ascii="Times New Roman" w:hAnsi="Times New Roman"/>
          <w:sz w:val="24"/>
        </w:rPr>
        <w:t xml:space="preserve"> İstenmeyen Etkiler).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Yaşlı hastaların tedavisi sırasında özellikle dikkatli olunması her zaman tavsiye edilir, çünkü bu hastalar grup olarak advers reaksiyonlar açısından daha duyarlıdır ve özellikle </w:t>
      </w:r>
      <w:proofErr w:type="gramStart"/>
      <w:r w:rsidRPr="00F36418">
        <w:rPr>
          <w:rFonts w:ascii="Times New Roman" w:hAnsi="Times New Roman"/>
          <w:sz w:val="24"/>
        </w:rPr>
        <w:t>komplikasyon</w:t>
      </w:r>
      <w:proofErr w:type="gramEnd"/>
      <w:r w:rsidRPr="00F36418">
        <w:rPr>
          <w:rFonts w:ascii="Times New Roman" w:hAnsi="Times New Roman"/>
          <w:sz w:val="24"/>
        </w:rPr>
        <w:t xml:space="preserve"> oluşturan durumlar varsa (bozuk karaciğer ve/veya böbrek fonksiyonu ve/veya diğer ilaçların eş zamanlı kullanılması) ciddi etkilerin ortaya çıkma olasılığı daha yüksektir.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Yeterli idrar çıkışı her zaman korunmalıdır. Tedavi edilen hastaların soğutulmuş idrarlarında sülfonamid kristalleri görülmüş olmasına rağmen, in </w:t>
      </w:r>
      <w:r w:rsidRPr="00F36418">
        <w:rPr>
          <w:rFonts w:ascii="Times New Roman" w:hAnsi="Times New Roman"/>
          <w:i/>
          <w:sz w:val="24"/>
        </w:rPr>
        <w:t xml:space="preserve">vivo </w:t>
      </w:r>
      <w:r w:rsidRPr="00F36418">
        <w:rPr>
          <w:rFonts w:ascii="Times New Roman" w:hAnsi="Times New Roman"/>
          <w:sz w:val="24"/>
        </w:rPr>
        <w:t>kristalüri bulgusu nadirdir. Beslenme bozukluğu olan hastalarda risk daha yüksek olabilir.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BACTRİM uzun süre verildiğinde veya folat eksikliği olan hastalara verildiğinde ya da yaşlılara verildiğinde,  düzenli aylık kan sayımı yapılması önerilir, çünkü mevcut folat eksikliğine bağlı olarak hematolojik laboratuar göstergelerinde asemptomatik değişiklik olasılığı vardır. Bu değişiklikler, folinik asit (5-10 mg/gün) uygulanması ile antibakteriyel aktiviteye engel olmaksızın geri döndürülebilir.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Glikoz-6-fosfat dehidrojenaz (G-6-PD) eksikliği olan hastalarda hemoliz olabilir.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Ciddi alerji veya bronşiyal astımı olan hastalarda, BACTRİM dikkatli bir şekilde verilmelidir.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BACTRİM, A grubu beta-hemolitik streptokoklara bağlı streptokokkal farenjit tedavisinde kullanılmamalıdır; bu organizmaların orofarenksten eradikasyonunda, penisiline göre daha az etkilidir.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Trimetoprimin, fenilalanin metabolizmasını bozduğu bildirilmiştir, ama uygun diyet kısıtlaması yapan </w:t>
      </w:r>
      <w:bookmarkStart w:id="8" w:name="OLE_LINK23"/>
      <w:bookmarkStart w:id="9" w:name="OLE_LINK24"/>
      <w:r w:rsidRPr="00F36418">
        <w:rPr>
          <w:rFonts w:ascii="Times New Roman" w:hAnsi="Times New Roman"/>
          <w:sz w:val="24"/>
        </w:rPr>
        <w:t xml:space="preserve">fenilketonürik </w:t>
      </w:r>
      <w:bookmarkEnd w:id="8"/>
      <w:bookmarkEnd w:id="9"/>
      <w:r w:rsidRPr="00F36418">
        <w:rPr>
          <w:rFonts w:ascii="Times New Roman" w:hAnsi="Times New Roman"/>
          <w:sz w:val="24"/>
        </w:rPr>
        <w:t xml:space="preserve">hastalarda bunun önemi yoktur.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Akut porfiri riskinden şüphe edilen veya akut porfiri olduğu bilinen hastalara BACTRİM verilmesinden kaçınılmalıdır. Hem trimetoprim, hem de sülfonamidler (özellikle sülfametoksazol olmasa da), porfirinin klinik alevlenmesi ile ilişkili bulunmuştur.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proofErr w:type="spellStart"/>
      <w:r w:rsidRPr="00F36418">
        <w:rPr>
          <w:rFonts w:ascii="Times New Roman" w:hAnsi="Times New Roman"/>
          <w:sz w:val="24"/>
        </w:rPr>
        <w:t>Hiperkalemi</w:t>
      </w:r>
      <w:proofErr w:type="spellEnd"/>
      <w:r w:rsidRPr="00F36418">
        <w:rPr>
          <w:rFonts w:ascii="Times New Roman" w:hAnsi="Times New Roman"/>
          <w:sz w:val="24"/>
        </w:rPr>
        <w:t xml:space="preserve"> </w:t>
      </w:r>
      <w:r w:rsidR="00A02A0F" w:rsidRPr="0072764C">
        <w:rPr>
          <w:rFonts w:ascii="Times New Roman" w:hAnsi="Times New Roman"/>
          <w:color w:val="0070C0"/>
          <w:sz w:val="24"/>
        </w:rPr>
        <w:t xml:space="preserve">ve </w:t>
      </w:r>
      <w:proofErr w:type="spellStart"/>
      <w:r w:rsidR="00A02A0F" w:rsidRPr="0072764C">
        <w:rPr>
          <w:rFonts w:ascii="Times New Roman" w:hAnsi="Times New Roman"/>
          <w:color w:val="0070C0"/>
          <w:sz w:val="24"/>
        </w:rPr>
        <w:t>hiponatremi</w:t>
      </w:r>
      <w:proofErr w:type="spellEnd"/>
      <w:r w:rsidR="00A02A0F" w:rsidRPr="00F36418">
        <w:rPr>
          <w:rFonts w:ascii="Times New Roman" w:hAnsi="Times New Roman"/>
          <w:sz w:val="24"/>
        </w:rPr>
        <w:t xml:space="preserve"> </w:t>
      </w:r>
      <w:r w:rsidRPr="00F36418">
        <w:rPr>
          <w:rFonts w:ascii="Times New Roman" w:hAnsi="Times New Roman"/>
          <w:sz w:val="24"/>
        </w:rPr>
        <w:t>riski olan hastalarda serum potasyum düzeyinin yakın olarak takibi gereklidir.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Dikkatli gözlem yapılmaksızın BACTRİM, ciddi hematolojik bozukluğu olan hastalara verilmemelidir (bkz. </w:t>
      </w:r>
      <w:proofErr w:type="gramStart"/>
      <w:r w:rsidRPr="00F36418">
        <w:rPr>
          <w:rFonts w:ascii="Times New Roman" w:hAnsi="Times New Roman"/>
          <w:sz w:val="24"/>
        </w:rPr>
        <w:t>4.8</w:t>
      </w:r>
      <w:proofErr w:type="gramEnd"/>
      <w:r w:rsidRPr="00F36418">
        <w:rPr>
          <w:rFonts w:ascii="Times New Roman" w:hAnsi="Times New Roman"/>
          <w:sz w:val="24"/>
        </w:rPr>
        <w:t xml:space="preserve"> İstenmeyen etkiler). BACTRİM, sitotoksik tedavi gören hastalara, kemik iliği veya periferik kan üzerinde ilave etki olmaksızın veya çok az etki ile uygulanmıştır.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BACTRİM içindeki antibiyotik </w:t>
      </w:r>
      <w:proofErr w:type="gramStart"/>
      <w:r w:rsidRPr="00F36418">
        <w:rPr>
          <w:rFonts w:ascii="Times New Roman" w:hAnsi="Times New Roman"/>
          <w:sz w:val="24"/>
        </w:rPr>
        <w:t>kombinasyonu</w:t>
      </w:r>
      <w:proofErr w:type="gramEnd"/>
      <w:r w:rsidRPr="00F36418">
        <w:rPr>
          <w:rFonts w:ascii="Times New Roman" w:hAnsi="Times New Roman"/>
          <w:sz w:val="24"/>
        </w:rPr>
        <w:t xml:space="preserve">, sadece, doktorun değerlendirmesine göre tedavinin, olası risklere ağır bastığı durumlarda kullanılmalıdır; etkili tek bir antibakteriyel ajanın kullanılması dikkate alınmalıdır. </w:t>
      </w:r>
    </w:p>
    <w:p w:rsidR="008A1E76" w:rsidRPr="00F36418" w:rsidRDefault="008A1E76" w:rsidP="009A1B75">
      <w:pPr>
        <w:pStyle w:val="ListeParagraf1"/>
        <w:spacing w:after="0"/>
        <w:ind w:left="0"/>
        <w:jc w:val="both"/>
        <w:rPr>
          <w:rFonts w:ascii="Times New Roman" w:hAnsi="Times New Roman"/>
          <w:sz w:val="24"/>
          <w:szCs w:val="24"/>
        </w:rPr>
      </w:pPr>
    </w:p>
    <w:p w:rsidR="00180DB0" w:rsidRPr="00F36418" w:rsidRDefault="00180DB0" w:rsidP="00180DB0">
      <w:pPr>
        <w:pStyle w:val="ListeParagraf1"/>
        <w:spacing w:after="0"/>
        <w:ind w:left="0"/>
        <w:jc w:val="both"/>
        <w:rPr>
          <w:rFonts w:ascii="Times New Roman" w:hAnsi="Times New Roman"/>
          <w:sz w:val="24"/>
        </w:rPr>
      </w:pPr>
      <w:r w:rsidRPr="00F36418">
        <w:rPr>
          <w:rFonts w:ascii="Times New Roman" w:hAnsi="Times New Roman"/>
          <w:sz w:val="24"/>
        </w:rPr>
        <w:t xml:space="preserve">Bu tıbbi ürün propilen glikol içermektedir. Alkol benzeri </w:t>
      </w:r>
      <w:proofErr w:type="gramStart"/>
      <w:r w:rsidRPr="00F36418">
        <w:rPr>
          <w:rFonts w:ascii="Times New Roman" w:hAnsi="Times New Roman"/>
          <w:sz w:val="24"/>
        </w:rPr>
        <w:t>semptomlara</w:t>
      </w:r>
      <w:proofErr w:type="gramEnd"/>
      <w:r w:rsidRPr="00F36418">
        <w:rPr>
          <w:rFonts w:ascii="Times New Roman" w:hAnsi="Times New Roman"/>
          <w:sz w:val="24"/>
        </w:rPr>
        <w:t xml:space="preserve"> neden olabilir.</w:t>
      </w:r>
    </w:p>
    <w:p w:rsidR="00180DB0" w:rsidRPr="00F36418" w:rsidRDefault="00180DB0" w:rsidP="00180DB0">
      <w:pPr>
        <w:pStyle w:val="ListeParagraf1"/>
        <w:spacing w:after="0"/>
        <w:ind w:left="0"/>
        <w:jc w:val="both"/>
        <w:rPr>
          <w:rFonts w:ascii="Times New Roman" w:hAnsi="Times New Roman"/>
          <w:sz w:val="24"/>
        </w:rPr>
      </w:pPr>
    </w:p>
    <w:p w:rsidR="004C0517" w:rsidRPr="00F36418" w:rsidRDefault="004C0517" w:rsidP="006D0DF9">
      <w:pPr>
        <w:autoSpaceDE w:val="0"/>
        <w:autoSpaceDN w:val="0"/>
        <w:adjustRightInd w:val="0"/>
        <w:jc w:val="both"/>
        <w:rPr>
          <w:rFonts w:eastAsia="TimesNewRoman"/>
          <w:lang w:eastAsia="en-US"/>
        </w:rPr>
      </w:pPr>
      <w:r w:rsidRPr="00F36418">
        <w:rPr>
          <w:rFonts w:eastAsia="TimesNewRoman"/>
          <w:lang w:eastAsia="en-US"/>
        </w:rPr>
        <w:t xml:space="preserve">Bu tıbbi </w:t>
      </w:r>
      <w:r w:rsidR="006D0DF9" w:rsidRPr="00F36418">
        <w:rPr>
          <w:rFonts w:eastAsia="TimesNewRoman"/>
          <w:lang w:eastAsia="en-US"/>
        </w:rPr>
        <w:t>ü</w:t>
      </w:r>
      <w:r w:rsidRPr="00F36418">
        <w:rPr>
          <w:rFonts w:eastAsia="TimesNewRoman"/>
          <w:lang w:eastAsia="en-US"/>
        </w:rPr>
        <w:t>r</w:t>
      </w:r>
      <w:r w:rsidR="006D0DF9" w:rsidRPr="00F36418">
        <w:rPr>
          <w:rFonts w:eastAsia="TimesNewRoman"/>
          <w:lang w:eastAsia="en-US"/>
        </w:rPr>
        <w:t>ü</w:t>
      </w:r>
      <w:r w:rsidR="00BD67B4" w:rsidRPr="00F36418">
        <w:rPr>
          <w:rFonts w:eastAsia="TimesNewRoman"/>
          <w:lang w:eastAsia="en-US"/>
        </w:rPr>
        <w:t>nün</w:t>
      </w:r>
      <w:r w:rsidRPr="00F36418">
        <w:rPr>
          <w:rFonts w:eastAsia="TimesNewRoman"/>
          <w:lang w:eastAsia="en-US"/>
        </w:rPr>
        <w:t xml:space="preserve"> </w:t>
      </w:r>
      <w:r w:rsidR="00393341" w:rsidRPr="00F36418">
        <w:rPr>
          <w:rFonts w:eastAsia="TimesNewRoman"/>
          <w:lang w:eastAsia="en-US"/>
        </w:rPr>
        <w:t>her 5 ml’s</w:t>
      </w:r>
      <w:r w:rsidR="00BD67B4" w:rsidRPr="00F36418">
        <w:rPr>
          <w:rFonts w:eastAsia="TimesNewRoman"/>
          <w:lang w:eastAsia="en-US"/>
        </w:rPr>
        <w:t>inde 500 mg etanol (alkol) vardır;</w:t>
      </w:r>
      <w:r w:rsidR="006D0DF9" w:rsidRPr="00F36418">
        <w:rPr>
          <w:rFonts w:eastAsia="TimesNewRoman"/>
          <w:lang w:eastAsia="en-US"/>
        </w:rPr>
        <w:t xml:space="preserve"> </w:t>
      </w:r>
      <w:r w:rsidR="00BD67B4" w:rsidRPr="00F36418">
        <w:rPr>
          <w:rFonts w:eastAsia="TimesNewRoman"/>
          <w:lang w:eastAsia="en-US"/>
        </w:rPr>
        <w:t>örneğin, her dozda</w:t>
      </w:r>
      <w:r w:rsidRPr="00F36418">
        <w:rPr>
          <w:rFonts w:eastAsia="TimesNewRoman"/>
          <w:lang w:eastAsia="en-US"/>
        </w:rPr>
        <w:t xml:space="preserve"> </w:t>
      </w:r>
      <w:proofErr w:type="gramStart"/>
      <w:r w:rsidR="006D0DF9" w:rsidRPr="00F36418">
        <w:rPr>
          <w:rFonts w:eastAsia="TimesNewRoman"/>
          <w:lang w:eastAsia="en-US"/>
        </w:rPr>
        <w:t>12.7</w:t>
      </w:r>
      <w:proofErr w:type="gramEnd"/>
      <w:r w:rsidR="006D0DF9" w:rsidRPr="00F36418">
        <w:rPr>
          <w:rFonts w:eastAsia="TimesNewRoman"/>
          <w:lang w:eastAsia="en-US"/>
        </w:rPr>
        <w:t xml:space="preserve"> </w:t>
      </w:r>
      <w:r w:rsidRPr="00F36418">
        <w:rPr>
          <w:rFonts w:eastAsia="TimesNewRoman"/>
          <w:lang w:eastAsia="en-US"/>
        </w:rPr>
        <w:t>ml biraya e</w:t>
      </w:r>
      <w:r w:rsidR="006D0DF9" w:rsidRPr="00F36418">
        <w:rPr>
          <w:rFonts w:eastAsia="TimesNewRoman"/>
          <w:lang w:eastAsia="en-US"/>
        </w:rPr>
        <w:t>ş</w:t>
      </w:r>
      <w:r w:rsidRPr="00F36418">
        <w:rPr>
          <w:rFonts w:eastAsia="TimesNewRoman"/>
          <w:lang w:eastAsia="en-US"/>
        </w:rPr>
        <w:t>değ</w:t>
      </w:r>
      <w:r w:rsidR="00BD67B4" w:rsidRPr="00F36418">
        <w:rPr>
          <w:rFonts w:eastAsia="TimesNewRoman"/>
          <w:lang w:eastAsia="en-US"/>
        </w:rPr>
        <w:t xml:space="preserve">er veya </w:t>
      </w:r>
      <w:r w:rsidR="006D0DF9" w:rsidRPr="00F36418">
        <w:rPr>
          <w:rFonts w:eastAsia="TimesNewRoman"/>
          <w:lang w:eastAsia="en-US"/>
        </w:rPr>
        <w:t xml:space="preserve">5.3 </w:t>
      </w:r>
      <w:r w:rsidRPr="00F36418">
        <w:rPr>
          <w:rFonts w:eastAsia="TimesNewRoman"/>
          <w:lang w:eastAsia="en-US"/>
        </w:rPr>
        <w:t xml:space="preserve">ml </w:t>
      </w:r>
      <w:r w:rsidR="006D0DF9" w:rsidRPr="00F36418">
        <w:rPr>
          <w:rFonts w:eastAsia="TimesNewRoman"/>
          <w:lang w:eastAsia="en-US"/>
        </w:rPr>
        <w:t>ş</w:t>
      </w:r>
      <w:r w:rsidRPr="00F36418">
        <w:rPr>
          <w:rFonts w:eastAsia="TimesNewRoman"/>
          <w:lang w:eastAsia="en-US"/>
        </w:rPr>
        <w:t>araba e</w:t>
      </w:r>
      <w:r w:rsidR="006D0DF9" w:rsidRPr="00F36418">
        <w:rPr>
          <w:rFonts w:eastAsia="TimesNewRoman"/>
          <w:lang w:eastAsia="en-US"/>
        </w:rPr>
        <w:t>ş</w:t>
      </w:r>
      <w:r w:rsidRPr="00F36418">
        <w:rPr>
          <w:rFonts w:eastAsia="TimesNewRoman"/>
          <w:lang w:eastAsia="en-US"/>
        </w:rPr>
        <w:t xml:space="preserve">değer </w:t>
      </w:r>
      <w:r w:rsidR="00BD67B4" w:rsidRPr="00F36418">
        <w:rPr>
          <w:rFonts w:eastAsia="TimesNewRoman"/>
          <w:lang w:eastAsia="en-US"/>
        </w:rPr>
        <w:t>gibi</w:t>
      </w:r>
      <w:r w:rsidR="006D0DF9" w:rsidRPr="00F36418">
        <w:rPr>
          <w:rFonts w:eastAsia="TimesNewRoman"/>
          <w:lang w:eastAsia="en-US"/>
        </w:rPr>
        <w:t xml:space="preserve">. </w:t>
      </w:r>
    </w:p>
    <w:p w:rsidR="004C0517" w:rsidRPr="00F36418" w:rsidRDefault="004C0517" w:rsidP="004C0517">
      <w:pPr>
        <w:autoSpaceDE w:val="0"/>
        <w:autoSpaceDN w:val="0"/>
        <w:adjustRightInd w:val="0"/>
        <w:rPr>
          <w:rFonts w:eastAsia="TimesNewRoman"/>
          <w:lang w:eastAsia="en-US"/>
        </w:rPr>
      </w:pPr>
    </w:p>
    <w:p w:rsidR="00180DB0" w:rsidRPr="00F36418" w:rsidRDefault="004C0517" w:rsidP="006D0DF9">
      <w:pPr>
        <w:autoSpaceDE w:val="0"/>
        <w:autoSpaceDN w:val="0"/>
        <w:adjustRightInd w:val="0"/>
        <w:jc w:val="both"/>
        <w:rPr>
          <w:rFonts w:eastAsia="TimesNewRoman"/>
          <w:lang w:eastAsia="en-US"/>
        </w:rPr>
      </w:pPr>
      <w:r w:rsidRPr="00F36418">
        <w:rPr>
          <w:rFonts w:eastAsia="TimesNewRoman"/>
          <w:lang w:eastAsia="en-US"/>
        </w:rPr>
        <w:t>Alkol bağımlılığı olanlar i</w:t>
      </w:r>
      <w:r w:rsidR="006D0DF9" w:rsidRPr="00F36418">
        <w:rPr>
          <w:rFonts w:eastAsia="TimesNewRoman"/>
          <w:lang w:eastAsia="en-US"/>
        </w:rPr>
        <w:t>ç</w:t>
      </w:r>
      <w:r w:rsidRPr="00F36418">
        <w:rPr>
          <w:rFonts w:eastAsia="TimesNewRoman"/>
          <w:lang w:eastAsia="en-US"/>
        </w:rPr>
        <w:t xml:space="preserve">in zararlı olabilir. Hamile veya emziren kadınlar, </w:t>
      </w:r>
      <w:r w:rsidR="006D0DF9" w:rsidRPr="00F36418">
        <w:rPr>
          <w:rFonts w:eastAsia="TimesNewRoman"/>
          <w:lang w:eastAsia="en-US"/>
        </w:rPr>
        <w:t>ç</w:t>
      </w:r>
      <w:r w:rsidRPr="00F36418">
        <w:rPr>
          <w:rFonts w:eastAsia="TimesNewRoman"/>
          <w:lang w:eastAsia="en-US"/>
        </w:rPr>
        <w:t>ocuklar ve karaciğer hastalığı ya da epilepsi gibi y</w:t>
      </w:r>
      <w:r w:rsidR="006D0DF9" w:rsidRPr="00F36418">
        <w:rPr>
          <w:rFonts w:eastAsia="TimesNewRoman"/>
          <w:lang w:eastAsia="en-US"/>
        </w:rPr>
        <w:t>ü</w:t>
      </w:r>
      <w:r w:rsidRPr="00F36418">
        <w:rPr>
          <w:rFonts w:eastAsia="TimesNewRoman"/>
          <w:lang w:eastAsia="en-US"/>
        </w:rPr>
        <w:t>ksek risk grubundaki hastalar i</w:t>
      </w:r>
      <w:r w:rsidR="006D0DF9" w:rsidRPr="00F36418">
        <w:rPr>
          <w:rFonts w:eastAsia="TimesNewRoman"/>
          <w:lang w:eastAsia="en-US"/>
        </w:rPr>
        <w:t>ç</w:t>
      </w:r>
      <w:r w:rsidRPr="00F36418">
        <w:rPr>
          <w:rFonts w:eastAsia="TimesNewRoman"/>
          <w:lang w:eastAsia="en-US"/>
        </w:rPr>
        <w:t>in dikkate alınmalıdır.</w:t>
      </w:r>
    </w:p>
    <w:p w:rsidR="004C0517" w:rsidRPr="00F36418" w:rsidRDefault="004C0517" w:rsidP="00CD1D7F">
      <w:pPr>
        <w:pStyle w:val="ListeParagraf1"/>
        <w:spacing w:after="0"/>
        <w:ind w:left="0"/>
        <w:jc w:val="both"/>
        <w:rPr>
          <w:rFonts w:ascii="Times New Roman" w:hAnsi="Times New Roman"/>
          <w:sz w:val="24"/>
        </w:rPr>
      </w:pPr>
    </w:p>
    <w:p w:rsidR="00CD1D7F" w:rsidRPr="00F36418" w:rsidRDefault="004C0517" w:rsidP="00CD1D7F">
      <w:pPr>
        <w:pStyle w:val="ListeParagraf1"/>
        <w:spacing w:after="0"/>
        <w:ind w:left="0"/>
        <w:jc w:val="both"/>
        <w:rPr>
          <w:rFonts w:ascii="Times New Roman" w:eastAsia="TimesNewRoman" w:hAnsi="Times New Roman"/>
          <w:sz w:val="24"/>
          <w:szCs w:val="24"/>
        </w:rPr>
      </w:pPr>
      <w:r w:rsidRPr="00F36418">
        <w:rPr>
          <w:rFonts w:ascii="Times New Roman" w:hAnsi="Times New Roman"/>
          <w:sz w:val="24"/>
        </w:rPr>
        <w:t>B</w:t>
      </w:r>
      <w:r w:rsidR="00180DB0" w:rsidRPr="00F36418">
        <w:rPr>
          <w:rFonts w:ascii="Times New Roman" w:hAnsi="Times New Roman"/>
          <w:sz w:val="24"/>
        </w:rPr>
        <w:t>u tıbbi ürün her 5</w:t>
      </w:r>
      <w:r w:rsidR="00393341" w:rsidRPr="00F36418">
        <w:rPr>
          <w:rFonts w:ascii="Times New Roman" w:hAnsi="Times New Roman"/>
          <w:sz w:val="24"/>
        </w:rPr>
        <w:t xml:space="preserve"> </w:t>
      </w:r>
      <w:r w:rsidR="00180DB0" w:rsidRPr="00F36418">
        <w:rPr>
          <w:rFonts w:ascii="Times New Roman" w:hAnsi="Times New Roman"/>
          <w:sz w:val="24"/>
        </w:rPr>
        <w:t>ml’sinde 1 mmol</w:t>
      </w:r>
      <w:r w:rsidR="00244CA8" w:rsidRPr="00F36418">
        <w:rPr>
          <w:rFonts w:ascii="Times New Roman" w:hAnsi="Times New Roman"/>
          <w:sz w:val="24"/>
        </w:rPr>
        <w:t xml:space="preserve"> </w:t>
      </w:r>
      <w:r w:rsidR="00180DB0" w:rsidRPr="00F36418">
        <w:rPr>
          <w:rFonts w:ascii="Times New Roman" w:hAnsi="Times New Roman"/>
          <w:sz w:val="24"/>
        </w:rPr>
        <w:t>(23 mg)</w:t>
      </w:r>
      <w:r w:rsidR="00244CA8" w:rsidRPr="00F36418">
        <w:rPr>
          <w:rFonts w:ascii="Times New Roman" w:hAnsi="Times New Roman"/>
          <w:sz w:val="24"/>
        </w:rPr>
        <w:t>’</w:t>
      </w:r>
      <w:r w:rsidR="00180DB0" w:rsidRPr="00F36418">
        <w:rPr>
          <w:rFonts w:ascii="Times New Roman" w:hAnsi="Times New Roman"/>
          <w:sz w:val="24"/>
        </w:rPr>
        <w:t xml:space="preserve">den daha az sodyum ihtiva eder; yani esasında </w:t>
      </w:r>
      <w:r w:rsidR="00CD1D7F" w:rsidRPr="00F36418">
        <w:rPr>
          <w:rFonts w:ascii="Times New Roman" w:eastAsia="TimesNewRoman" w:hAnsi="Times New Roman"/>
          <w:sz w:val="24"/>
          <w:szCs w:val="24"/>
        </w:rPr>
        <w:t>“sodyum içermez”.</w:t>
      </w:r>
    </w:p>
    <w:p w:rsidR="00CD1D7F" w:rsidRPr="00F36418" w:rsidRDefault="00CD1D7F" w:rsidP="009A1B75">
      <w:pPr>
        <w:pStyle w:val="ListeParagraf1"/>
        <w:spacing w:after="0"/>
        <w:ind w:left="0"/>
        <w:jc w:val="both"/>
        <w:rPr>
          <w:rFonts w:ascii="Times New Roman" w:eastAsia="MS Mincho" w:hAnsi="Times New Roman"/>
          <w:b/>
          <w:sz w:val="24"/>
          <w:szCs w:val="24"/>
          <w:lang w:eastAsia="ja-JP"/>
        </w:rPr>
      </w:pPr>
    </w:p>
    <w:p w:rsidR="008441F6" w:rsidRPr="00F36418" w:rsidRDefault="008A1E76" w:rsidP="009A1B75">
      <w:pPr>
        <w:pStyle w:val="ListeParagraf1"/>
        <w:spacing w:after="0"/>
        <w:ind w:left="0"/>
        <w:jc w:val="both"/>
        <w:rPr>
          <w:rFonts w:ascii="Times New Roman" w:eastAsia="MS Mincho" w:hAnsi="Times New Roman"/>
          <w:b/>
          <w:sz w:val="24"/>
          <w:szCs w:val="24"/>
          <w:lang w:eastAsia="ja-JP"/>
        </w:rPr>
      </w:pPr>
      <w:r w:rsidRPr="00F36418">
        <w:rPr>
          <w:rFonts w:ascii="Times New Roman" w:eastAsia="MS Mincho" w:hAnsi="Times New Roman"/>
          <w:b/>
          <w:sz w:val="24"/>
          <w:szCs w:val="24"/>
          <w:lang w:eastAsia="ja-JP"/>
        </w:rPr>
        <w:t>4.5. Diğer tıbbi ürünler ile etkileşimler ve diğer etkileşim şekilleri</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Trimetoprim, alkalen pikrat reaksiyonu kullanıldığı zaman serum/plazma kreatinin değerinin yanlış hesaplamasına neden olabilir. Bunun sonucunda serum/plazma kreatinin düzeyi gerçekte olduğundan %10 daha yüksek bulunabilir. Kreatinin klirensi düşer: kreatinin renal tübüler sekresyonu, %23’ten %9’a düşerken, glomerüler filtrasyon değişmeden kalır.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Bazı durumlarda, zidovudin ile eş zamanlı tedavi, ko-trimoksazole karşı hematolojik advers reaksiyon gelişme riskini artırabilir. Eş zamanlı tedavi gerekli ise, hematolojik parametrelerin takip edilmesi göz önüne alınmalıdır.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Böbrek </w:t>
      </w:r>
      <w:proofErr w:type="gramStart"/>
      <w:r w:rsidRPr="00F36418">
        <w:rPr>
          <w:rFonts w:ascii="Times New Roman" w:hAnsi="Times New Roman"/>
          <w:sz w:val="24"/>
        </w:rPr>
        <w:t>transplantasyonunu</w:t>
      </w:r>
      <w:proofErr w:type="gramEnd"/>
      <w:r w:rsidRPr="00F36418">
        <w:rPr>
          <w:rFonts w:ascii="Times New Roman" w:hAnsi="Times New Roman"/>
          <w:sz w:val="24"/>
        </w:rPr>
        <w:t xml:space="preserve"> takiben ko-trimoksazol ve siklosporin ile eş zamanlı olarak tedavi edilen hastalarda, böbrek fonksiyonunda reversibl bozulma gözlenmiştir.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Rifampisin ve BACTRİM’in birlikte kullanılması, bir haftalık bir dönemden sonra trimetoprimin plazma yarı-ömründe kısalma ile sonuçlanır. Bunun klinik önemi olmadığı düşünülmektedir.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Trimetoprim, fizyolojik pH’da katyon oluşturan ve kısmen aktif renal sekresyonla atılan (prokainamid, amantadin) ilaçlarla birlikte kullanıldığında, bu sürecin </w:t>
      </w:r>
      <w:bookmarkStart w:id="10" w:name="OLE_LINK25"/>
      <w:bookmarkStart w:id="11" w:name="OLE_LINK26"/>
      <w:r w:rsidRPr="00F36418">
        <w:rPr>
          <w:rFonts w:ascii="Times New Roman" w:hAnsi="Times New Roman"/>
          <w:sz w:val="24"/>
        </w:rPr>
        <w:t xml:space="preserve">kompetetif inhibisyonu </w:t>
      </w:r>
      <w:bookmarkEnd w:id="10"/>
      <w:bookmarkEnd w:id="11"/>
      <w:r w:rsidRPr="00F36418">
        <w:rPr>
          <w:rFonts w:ascii="Times New Roman" w:hAnsi="Times New Roman"/>
          <w:sz w:val="24"/>
        </w:rPr>
        <w:t xml:space="preserve">olasılığı söz konusudur ve bu durum, ilaçlardan birisinin veya her ikisinin birden plazma </w:t>
      </w:r>
      <w:proofErr w:type="gramStart"/>
      <w:r w:rsidRPr="00F36418">
        <w:rPr>
          <w:rFonts w:ascii="Times New Roman" w:hAnsi="Times New Roman"/>
          <w:sz w:val="24"/>
        </w:rPr>
        <w:t>konsantrasyonunun</w:t>
      </w:r>
      <w:proofErr w:type="gramEnd"/>
      <w:r w:rsidRPr="00F36418">
        <w:rPr>
          <w:rFonts w:ascii="Times New Roman" w:hAnsi="Times New Roman"/>
          <w:sz w:val="24"/>
        </w:rPr>
        <w:t xml:space="preserve"> artmasına yol açar.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Eş zamanlı olarak diüretik (esas olarak tiazidler) kullanan yaşlı hastalarda, purpura ile birlikte olan veya olmayan trombositopeni riskinde artış görülmektedir.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Bazı bildirimlere göre eş zamanlı olarak ko-trimoksazol reçete edildiğinde, haftada 25 </w:t>
      </w:r>
      <w:proofErr w:type="spellStart"/>
      <w:r w:rsidRPr="00F36418">
        <w:rPr>
          <w:rFonts w:ascii="Times New Roman" w:hAnsi="Times New Roman"/>
          <w:sz w:val="24"/>
        </w:rPr>
        <w:t>mg’dan</w:t>
      </w:r>
      <w:proofErr w:type="spellEnd"/>
      <w:r w:rsidRPr="00F36418">
        <w:rPr>
          <w:rFonts w:ascii="Times New Roman" w:hAnsi="Times New Roman"/>
          <w:sz w:val="24"/>
        </w:rPr>
        <w:t xml:space="preserve"> fazla </w:t>
      </w:r>
      <w:proofErr w:type="spellStart"/>
      <w:r w:rsidR="00A02A0F">
        <w:rPr>
          <w:rFonts w:ascii="Times New Roman" w:hAnsi="Times New Roman"/>
          <w:color w:val="0070C0"/>
          <w:sz w:val="24"/>
        </w:rPr>
        <w:t>mala</w:t>
      </w:r>
      <w:r w:rsidR="00A02A0F" w:rsidRPr="00D054EC">
        <w:rPr>
          <w:rFonts w:ascii="Times New Roman" w:hAnsi="Times New Roman"/>
          <w:color w:val="0070C0"/>
          <w:sz w:val="24"/>
        </w:rPr>
        <w:t>ryal</w:t>
      </w:r>
      <w:proofErr w:type="spellEnd"/>
      <w:r w:rsidR="00A02A0F" w:rsidRPr="00D054EC">
        <w:rPr>
          <w:rFonts w:ascii="Times New Roman" w:hAnsi="Times New Roman"/>
          <w:color w:val="0070C0"/>
          <w:sz w:val="24"/>
        </w:rPr>
        <w:t xml:space="preserve"> </w:t>
      </w:r>
      <w:proofErr w:type="spellStart"/>
      <w:r w:rsidR="00A02A0F" w:rsidRPr="001E6154">
        <w:rPr>
          <w:rFonts w:ascii="Times New Roman" w:hAnsi="Times New Roman"/>
          <w:color w:val="0070C0"/>
          <w:sz w:val="24"/>
        </w:rPr>
        <w:t>profilaksi</w:t>
      </w:r>
      <w:proofErr w:type="spellEnd"/>
      <w:r w:rsidR="00A02A0F" w:rsidRPr="001E6154">
        <w:rPr>
          <w:rFonts w:ascii="Times New Roman" w:hAnsi="Times New Roman"/>
          <w:color w:val="0070C0"/>
          <w:sz w:val="24"/>
        </w:rPr>
        <w:t xml:space="preserve"> amaçlı</w:t>
      </w:r>
      <w:r w:rsidR="00A02A0F">
        <w:rPr>
          <w:rFonts w:ascii="Times New Roman" w:hAnsi="Times New Roman"/>
          <w:sz w:val="24"/>
        </w:rPr>
        <w:t xml:space="preserve"> </w:t>
      </w:r>
      <w:proofErr w:type="spellStart"/>
      <w:r w:rsidRPr="00F36418">
        <w:rPr>
          <w:rFonts w:ascii="Times New Roman" w:hAnsi="Times New Roman"/>
          <w:sz w:val="24"/>
        </w:rPr>
        <w:t>primetamin</w:t>
      </w:r>
      <w:proofErr w:type="spellEnd"/>
      <w:r w:rsidRPr="00F36418">
        <w:rPr>
          <w:rFonts w:ascii="Times New Roman" w:hAnsi="Times New Roman"/>
          <w:sz w:val="24"/>
        </w:rPr>
        <w:t xml:space="preserve"> alan hastalarda </w:t>
      </w:r>
      <w:proofErr w:type="spellStart"/>
      <w:r w:rsidRPr="00F36418">
        <w:rPr>
          <w:rFonts w:ascii="Times New Roman" w:hAnsi="Times New Roman"/>
          <w:sz w:val="24"/>
        </w:rPr>
        <w:t>megaloblastik</w:t>
      </w:r>
      <w:proofErr w:type="spellEnd"/>
      <w:r w:rsidRPr="00F36418">
        <w:rPr>
          <w:rFonts w:ascii="Times New Roman" w:hAnsi="Times New Roman"/>
          <w:sz w:val="24"/>
        </w:rPr>
        <w:t xml:space="preserve"> anemi gelişebilir.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Ko-trimoksazol’ün varfarinin antikoagülan etkisini, bunun metabolizmasını stereo-selektif olarak inhibe ederek potansiyalize ettiği gösterilmiştir. Sülfametoksazol, </w:t>
      </w:r>
      <w:r w:rsidRPr="00F36418">
        <w:rPr>
          <w:rFonts w:ascii="Times New Roman" w:hAnsi="Times New Roman"/>
          <w:i/>
          <w:sz w:val="24"/>
        </w:rPr>
        <w:t>in vitro</w:t>
      </w:r>
      <w:r w:rsidRPr="00F36418">
        <w:rPr>
          <w:rFonts w:ascii="Times New Roman" w:hAnsi="Times New Roman"/>
          <w:sz w:val="24"/>
        </w:rPr>
        <w:t xml:space="preserve"> olarak varfarini plazma- albümin protein bağlayıcı bölgelerden ayırabilir. BACTRİM tedavisi esnasında antikoagülan tedavinin dikkatli bir şekilde kontrol edilmesi tavsiye edilir. </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lastRenderedPageBreak/>
        <w:t xml:space="preserve">Ko-trimoksazol fenitoinin yarı-ömrünü uzatır ve eş zamanlı olarak uygulanırsa, aşırı fenitoin etkisi ile sonuçlanabilir. Hastanın durumunun ve serum fenitoin düzeylerinin yakından takibi tavsiye edilir.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Trimetoprim ile digoksinin eş zamanlı kullanılmasının, yaşlı hastaların bir bölümünde plazma digoksin düzeylerini yükselttiği gösterilmiştir.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Ko-trimoksazol metotreksatın serbest plazma düzeylerini yükseltebilir.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Testte, </w:t>
      </w:r>
      <w:r w:rsidRPr="00F36418">
        <w:rPr>
          <w:rFonts w:ascii="Times New Roman" w:hAnsi="Times New Roman"/>
          <w:i/>
          <w:sz w:val="24"/>
        </w:rPr>
        <w:t>Lactobacillus casei</w:t>
      </w:r>
      <w:r w:rsidRPr="00F36418">
        <w:rPr>
          <w:rFonts w:ascii="Times New Roman" w:hAnsi="Times New Roman"/>
          <w:sz w:val="24"/>
        </w:rPr>
        <w:t>’nin dihidrofolat redüktazı kullanıldığı zaman trimetoprim, serum metotreksat düzeyi testlerine engel olur. Metotreksat radyoimmünassay ile ölçüldüğünde engelleme söz konusu değildir.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tabs>
          <w:tab w:val="left" w:pos="5040"/>
          <w:tab w:val="left" w:pos="5220"/>
          <w:tab w:val="left" w:pos="5400"/>
          <w:tab w:val="left" w:pos="5580"/>
          <w:tab w:val="left" w:pos="5940"/>
          <w:tab w:val="left" w:pos="6120"/>
        </w:tabs>
        <w:spacing w:after="0"/>
        <w:ind w:left="0"/>
        <w:jc w:val="both"/>
        <w:rPr>
          <w:rFonts w:ascii="Times New Roman" w:hAnsi="Times New Roman"/>
          <w:sz w:val="24"/>
        </w:rPr>
      </w:pPr>
      <w:r w:rsidRPr="00F36418">
        <w:rPr>
          <w:rFonts w:ascii="Times New Roman" w:hAnsi="Times New Roman"/>
          <w:sz w:val="24"/>
        </w:rPr>
        <w:t>Trimetroprim/sülfametoksazol 160 mg/800 mg (ko-trimoksazol) uygulanması, trimetoprim öğesine bağlı olarak lamivudin maruziyetinde % 40 artışa neden olur. Lamivudinin trimetroprim veya sülfametoksazol farmakokinetiği üzerinde etkisi yoktur.</w:t>
      </w:r>
    </w:p>
    <w:p w:rsidR="008C161F" w:rsidRPr="00F36418" w:rsidRDefault="008C161F" w:rsidP="009A1B75">
      <w:pPr>
        <w:pStyle w:val="ListeParagraf1"/>
        <w:tabs>
          <w:tab w:val="left" w:pos="5040"/>
          <w:tab w:val="left" w:pos="5220"/>
          <w:tab w:val="left" w:pos="5400"/>
          <w:tab w:val="left" w:pos="5580"/>
          <w:tab w:val="left" w:pos="5940"/>
          <w:tab w:val="left" w:pos="6120"/>
        </w:tabs>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Sülfonilüre hipoglisemik ajanlarla etkileşim nadir olmakla birlikte, potansiyalizasyon bildirilmiştir.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Hiperkalemiye neden olabilen diğer ilaçları alan hastalarda dikkatli olmak gereklidir.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BACTRİM, metotreksat gibi diğer anti-folat ilaçları alan hastalarda uygun tedavi olarak kabul edilirse, folat desteği verilmesi düşünülmelidir.</w:t>
      </w:r>
    </w:p>
    <w:p w:rsidR="008A1E76" w:rsidRPr="00F36418" w:rsidRDefault="008A1E76" w:rsidP="009A1B75">
      <w:pPr>
        <w:pStyle w:val="ListeParagraf1"/>
        <w:spacing w:after="0"/>
        <w:ind w:left="0"/>
        <w:jc w:val="both"/>
        <w:rPr>
          <w:rFonts w:ascii="Times New Roman" w:hAnsi="Times New Roman"/>
          <w:sz w:val="24"/>
          <w:szCs w:val="24"/>
        </w:rPr>
      </w:pPr>
      <w:r w:rsidRPr="00F36418">
        <w:rPr>
          <w:rFonts w:ascii="Times New Roman" w:hAnsi="Times New Roman"/>
          <w:sz w:val="24"/>
          <w:szCs w:val="24"/>
        </w:rPr>
        <w:t xml:space="preserve"> </w:t>
      </w:r>
    </w:p>
    <w:p w:rsidR="008A1E76" w:rsidRPr="00F36418" w:rsidRDefault="008A1E76" w:rsidP="009A1B75">
      <w:pPr>
        <w:pStyle w:val="ListeParagraf1"/>
        <w:spacing w:after="0"/>
        <w:ind w:left="0"/>
        <w:jc w:val="both"/>
        <w:rPr>
          <w:rFonts w:ascii="Times New Roman" w:hAnsi="Times New Roman"/>
          <w:b/>
          <w:sz w:val="24"/>
          <w:szCs w:val="24"/>
        </w:rPr>
      </w:pPr>
      <w:r w:rsidRPr="00F36418">
        <w:rPr>
          <w:rFonts w:ascii="Times New Roman" w:hAnsi="Times New Roman"/>
          <w:b/>
          <w:sz w:val="24"/>
          <w:szCs w:val="24"/>
        </w:rPr>
        <w:t xml:space="preserve">Özel </w:t>
      </w:r>
      <w:proofErr w:type="gramStart"/>
      <w:r w:rsidRPr="00F36418">
        <w:rPr>
          <w:rFonts w:ascii="Times New Roman" w:hAnsi="Times New Roman"/>
          <w:b/>
          <w:sz w:val="24"/>
          <w:szCs w:val="24"/>
        </w:rPr>
        <w:t>popülasyonlara</w:t>
      </w:r>
      <w:proofErr w:type="gramEnd"/>
      <w:r w:rsidRPr="00F36418">
        <w:rPr>
          <w:rFonts w:ascii="Times New Roman" w:hAnsi="Times New Roman"/>
          <w:b/>
          <w:sz w:val="24"/>
          <w:szCs w:val="24"/>
        </w:rPr>
        <w:t xml:space="preserve"> ilişkin ek bilgiler</w:t>
      </w:r>
    </w:p>
    <w:p w:rsidR="008A1E76" w:rsidRPr="00F36418" w:rsidRDefault="008A1E76" w:rsidP="009A1B75">
      <w:pPr>
        <w:pStyle w:val="ListeParagraf1"/>
        <w:spacing w:after="0"/>
        <w:ind w:left="0"/>
        <w:jc w:val="both"/>
        <w:rPr>
          <w:rFonts w:ascii="Times New Roman" w:hAnsi="Times New Roman"/>
          <w:sz w:val="24"/>
          <w:szCs w:val="24"/>
        </w:rPr>
      </w:pPr>
      <w:r w:rsidRPr="00F36418">
        <w:rPr>
          <w:rFonts w:ascii="Times New Roman" w:hAnsi="Times New Roman"/>
          <w:sz w:val="24"/>
          <w:szCs w:val="24"/>
        </w:rPr>
        <w:t>Herhangi bir etkileşim çalışması yapılmamıştır.</w:t>
      </w:r>
    </w:p>
    <w:p w:rsidR="008A1E76" w:rsidRPr="00F36418" w:rsidRDefault="008A1E76" w:rsidP="009A1B75">
      <w:pPr>
        <w:pStyle w:val="ListeParagraf1"/>
        <w:spacing w:after="0"/>
        <w:ind w:left="0"/>
        <w:jc w:val="both"/>
        <w:rPr>
          <w:rFonts w:ascii="Times New Roman" w:hAnsi="Times New Roman"/>
          <w:sz w:val="24"/>
          <w:szCs w:val="24"/>
        </w:rPr>
      </w:pPr>
    </w:p>
    <w:p w:rsidR="008A1E76" w:rsidRPr="00F36418" w:rsidRDefault="008A1E76" w:rsidP="009A1B75">
      <w:pPr>
        <w:pStyle w:val="ListeParagraf1"/>
        <w:spacing w:after="0"/>
        <w:ind w:left="0"/>
        <w:jc w:val="both"/>
        <w:rPr>
          <w:rFonts w:ascii="Times New Roman" w:hAnsi="Times New Roman"/>
          <w:b/>
          <w:sz w:val="24"/>
          <w:szCs w:val="24"/>
        </w:rPr>
      </w:pPr>
      <w:r w:rsidRPr="00F36418">
        <w:rPr>
          <w:rFonts w:ascii="Times New Roman" w:hAnsi="Times New Roman"/>
          <w:b/>
          <w:sz w:val="24"/>
          <w:szCs w:val="24"/>
        </w:rPr>
        <w:t xml:space="preserve">Pediyatrik </w:t>
      </w:r>
      <w:proofErr w:type="gramStart"/>
      <w:r w:rsidRPr="00F36418">
        <w:rPr>
          <w:rFonts w:ascii="Times New Roman" w:hAnsi="Times New Roman"/>
          <w:b/>
          <w:sz w:val="24"/>
          <w:szCs w:val="24"/>
        </w:rPr>
        <w:t>popülasyon</w:t>
      </w:r>
      <w:proofErr w:type="gramEnd"/>
    </w:p>
    <w:p w:rsidR="008A1E76" w:rsidRPr="00F36418" w:rsidRDefault="008A1E76" w:rsidP="009A1B75">
      <w:pPr>
        <w:pStyle w:val="ListeParagraf1"/>
        <w:spacing w:after="0"/>
        <w:ind w:left="0"/>
        <w:jc w:val="both"/>
        <w:rPr>
          <w:rFonts w:ascii="Times New Roman" w:hAnsi="Times New Roman"/>
          <w:sz w:val="24"/>
          <w:szCs w:val="24"/>
        </w:rPr>
      </w:pPr>
      <w:r w:rsidRPr="00F36418">
        <w:rPr>
          <w:rFonts w:ascii="Times New Roman" w:hAnsi="Times New Roman"/>
          <w:sz w:val="24"/>
          <w:szCs w:val="24"/>
        </w:rPr>
        <w:t>Çocuklarda herhangi bir etkileşim çalışması yapılmamıştır.</w:t>
      </w:r>
    </w:p>
    <w:p w:rsidR="00414D74" w:rsidRPr="00F36418" w:rsidRDefault="00414D74" w:rsidP="009A1B75">
      <w:pPr>
        <w:pStyle w:val="ListeParagraf1"/>
        <w:spacing w:after="0"/>
        <w:ind w:left="0"/>
        <w:jc w:val="both"/>
        <w:rPr>
          <w:rFonts w:ascii="Times New Roman" w:hAnsi="Times New Roman"/>
          <w:sz w:val="24"/>
          <w:szCs w:val="24"/>
        </w:rPr>
      </w:pPr>
    </w:p>
    <w:p w:rsidR="008A1E76" w:rsidRPr="00F36418" w:rsidRDefault="008A1E76" w:rsidP="009A1B75">
      <w:pPr>
        <w:spacing w:line="276" w:lineRule="auto"/>
        <w:jc w:val="both"/>
        <w:rPr>
          <w:b/>
        </w:rPr>
      </w:pPr>
      <w:r w:rsidRPr="00F36418">
        <w:rPr>
          <w:b/>
        </w:rPr>
        <w:t>4.6. Gebelik ve laktasyon</w:t>
      </w:r>
    </w:p>
    <w:p w:rsidR="008A1E76" w:rsidRPr="00F36418" w:rsidRDefault="008A1E76" w:rsidP="009A1B75">
      <w:pPr>
        <w:spacing w:line="276" w:lineRule="auto"/>
        <w:jc w:val="both"/>
        <w:rPr>
          <w:b/>
        </w:rPr>
      </w:pPr>
      <w:r w:rsidRPr="00F36418">
        <w:rPr>
          <w:b/>
        </w:rPr>
        <w:t>Genel Tavsiye</w:t>
      </w:r>
    </w:p>
    <w:p w:rsidR="008A1E76" w:rsidRPr="00F36418" w:rsidRDefault="008A1E76" w:rsidP="009A1B75">
      <w:pPr>
        <w:spacing w:line="276" w:lineRule="auto"/>
        <w:jc w:val="both"/>
        <w:rPr>
          <w:b/>
        </w:rPr>
      </w:pPr>
      <w:r w:rsidRPr="00F36418">
        <w:rPr>
          <w:b/>
        </w:rPr>
        <w:t>Gebelik kategorisi: C</w:t>
      </w:r>
    </w:p>
    <w:p w:rsidR="008A1E76" w:rsidRPr="00F36418" w:rsidRDefault="008A1E76" w:rsidP="009A1B75">
      <w:pPr>
        <w:spacing w:line="276" w:lineRule="auto"/>
        <w:jc w:val="both"/>
        <w:rPr>
          <w:b/>
        </w:rPr>
      </w:pPr>
      <w:r w:rsidRPr="00F36418">
        <w:rPr>
          <w:b/>
        </w:rPr>
        <w:t>Çocuk Doğurma Potansiyeli Bulunan Kadınlar/Doğum Kontrolü (Kontrasepsiyon)</w:t>
      </w:r>
    </w:p>
    <w:p w:rsidR="008614C1" w:rsidRPr="00F36418" w:rsidRDefault="008614C1" w:rsidP="008614C1">
      <w:pPr>
        <w:spacing w:line="276" w:lineRule="auto"/>
        <w:jc w:val="both"/>
      </w:pPr>
      <w:r w:rsidRPr="00F36418">
        <w:t xml:space="preserve">BACTRİM verildiği zaman neonatal hiperbilirübinemi ortaya çıkması, alevlenmesi riski veya teorik olarak kernikterus riski nedeniyle çocuk doğurma potansiyeli olan kadınlar uygun kontrasepsiyon yöntemlerini kullanmalıdır. </w:t>
      </w:r>
    </w:p>
    <w:p w:rsidR="008C161F" w:rsidRPr="00F36418" w:rsidRDefault="008C161F" w:rsidP="009A1B75">
      <w:pPr>
        <w:spacing w:line="276" w:lineRule="auto"/>
        <w:jc w:val="both"/>
      </w:pPr>
    </w:p>
    <w:p w:rsidR="008A1E76" w:rsidRPr="00F36418" w:rsidRDefault="008A1E76" w:rsidP="009A1B75">
      <w:pPr>
        <w:spacing w:line="276" w:lineRule="auto"/>
        <w:jc w:val="both"/>
        <w:rPr>
          <w:b/>
        </w:rPr>
      </w:pPr>
      <w:r w:rsidRPr="00F36418">
        <w:rPr>
          <w:b/>
        </w:rPr>
        <w:t>Gebelik dönemi</w:t>
      </w:r>
    </w:p>
    <w:p w:rsidR="002E67EE" w:rsidRDefault="002E67EE" w:rsidP="009A1B75">
      <w:pPr>
        <w:spacing w:line="276" w:lineRule="auto"/>
        <w:jc w:val="both"/>
      </w:pPr>
      <w:r w:rsidRPr="00F36418">
        <w:t xml:space="preserve">BACTRİM’ in gebe kadınlarda kullanımına ilişkin yeterli veri mevcut değildir. </w:t>
      </w:r>
    </w:p>
    <w:p w:rsidR="00A523BB" w:rsidRPr="00D054EC" w:rsidRDefault="00A523BB" w:rsidP="00A523BB">
      <w:pPr>
        <w:spacing w:line="276" w:lineRule="auto"/>
        <w:jc w:val="both"/>
      </w:pPr>
      <w:r w:rsidRPr="003C0FA4">
        <w:rPr>
          <w:color w:val="0070C0"/>
        </w:rPr>
        <w:t xml:space="preserve">Hayvanlar üzerinde yapılan çalışmalar, gebelik /ve-veya/ </w:t>
      </w:r>
      <w:proofErr w:type="spellStart"/>
      <w:r w:rsidRPr="003C0FA4">
        <w:rPr>
          <w:color w:val="0070C0"/>
        </w:rPr>
        <w:t>embriyonal</w:t>
      </w:r>
      <w:proofErr w:type="spellEnd"/>
      <w:r w:rsidRPr="003C0FA4">
        <w:rPr>
          <w:color w:val="0070C0"/>
        </w:rPr>
        <w:t>/</w:t>
      </w:r>
      <w:proofErr w:type="spellStart"/>
      <w:r w:rsidRPr="003C0FA4">
        <w:rPr>
          <w:color w:val="0070C0"/>
        </w:rPr>
        <w:t>fetal</w:t>
      </w:r>
      <w:proofErr w:type="spellEnd"/>
      <w:r w:rsidRPr="003C0FA4">
        <w:rPr>
          <w:color w:val="0070C0"/>
        </w:rPr>
        <w:t xml:space="preserve"> gelişim /ve-veya/ doğum /ve-veya/ doğum sonrası gelişim üzerindeki</w:t>
      </w:r>
      <w:r>
        <w:rPr>
          <w:color w:val="0070C0"/>
        </w:rPr>
        <w:t xml:space="preserve"> etkiler bakımından yetersizdir. </w:t>
      </w:r>
      <w:r w:rsidRPr="003C0FA4">
        <w:rPr>
          <w:color w:val="0070C0"/>
        </w:rPr>
        <w:t>İnsanlara yönelik potansiyel risk bilinmemektedir.</w:t>
      </w:r>
    </w:p>
    <w:p w:rsidR="00124E14" w:rsidRPr="00F36418" w:rsidRDefault="00124E14" w:rsidP="009A1B75">
      <w:pPr>
        <w:tabs>
          <w:tab w:val="left" w:pos="-1440"/>
          <w:tab w:val="left" w:pos="-720"/>
          <w:tab w:val="left" w:pos="284"/>
        </w:tabs>
        <w:suppressAutoHyphens/>
        <w:spacing w:line="276" w:lineRule="auto"/>
        <w:jc w:val="both"/>
        <w:rPr>
          <w:rFonts w:eastAsia="Calibri"/>
          <w:lang w:eastAsia="en-US"/>
        </w:rPr>
      </w:pPr>
      <w:r w:rsidRPr="00F36418">
        <w:rPr>
          <w:rFonts w:eastAsia="Calibri"/>
          <w:lang w:eastAsia="en-US"/>
        </w:rPr>
        <w:lastRenderedPageBreak/>
        <w:t>Hayvan deneylerinde, çok yüksek dozlardaki TMP-</w:t>
      </w:r>
      <w:proofErr w:type="gramStart"/>
      <w:r w:rsidRPr="00F36418">
        <w:rPr>
          <w:rFonts w:eastAsia="Calibri"/>
          <w:lang w:eastAsia="en-US"/>
        </w:rPr>
        <w:t>SMZ  folik</w:t>
      </w:r>
      <w:proofErr w:type="gramEnd"/>
      <w:r w:rsidRPr="00F36418">
        <w:rPr>
          <w:rFonts w:eastAsia="Calibri"/>
          <w:lang w:eastAsia="en-US"/>
        </w:rPr>
        <w:t xml:space="preserve"> asit antagonizması için tipik olan fetus malformasyonlarına neden olmuştur. Gebe kadınlar üzerinde yapılan çalışmaların raporlarında, spontan bildirilen malformasyon raporlarında ve ilgili </w:t>
      </w:r>
      <w:proofErr w:type="gramStart"/>
      <w:r w:rsidRPr="00F36418">
        <w:rPr>
          <w:rFonts w:eastAsia="Calibri"/>
          <w:lang w:eastAsia="en-US"/>
        </w:rPr>
        <w:t>literatür</w:t>
      </w:r>
      <w:proofErr w:type="gramEnd"/>
      <w:r w:rsidRPr="00F36418">
        <w:rPr>
          <w:rFonts w:eastAsia="Calibri"/>
          <w:lang w:eastAsia="en-US"/>
        </w:rPr>
        <w:t xml:space="preserve"> in</w:t>
      </w:r>
      <w:r w:rsidRPr="00F36418">
        <w:rPr>
          <w:rFonts w:eastAsia="Calibri"/>
          <w:lang w:eastAsia="en-US"/>
        </w:rPr>
        <w:softHyphen/>
        <w:t xml:space="preserve">celemelerinde, </w:t>
      </w:r>
      <w:r w:rsidR="00C73BE2" w:rsidRPr="00F36418">
        <w:rPr>
          <w:rFonts w:eastAsia="Calibri"/>
          <w:lang w:eastAsia="en-US"/>
        </w:rPr>
        <w:t>BACTRİM</w:t>
      </w:r>
      <w:r w:rsidRPr="00F36418">
        <w:rPr>
          <w:rFonts w:eastAsia="Calibri"/>
          <w:lang w:eastAsia="en-US"/>
        </w:rPr>
        <w:t xml:space="preserve"> insanda belirgin bir teratojenik risk taşımadığı görünmektedir. TMP ve SMZ plasentayı geçtikleri ve folik asit metabolizmasını bozdukları için, </w:t>
      </w:r>
      <w:r w:rsidR="00C73BE2" w:rsidRPr="00F36418">
        <w:rPr>
          <w:rFonts w:eastAsia="Calibri"/>
          <w:lang w:eastAsia="en-US"/>
        </w:rPr>
        <w:t>BACTRİM</w:t>
      </w:r>
      <w:r w:rsidRPr="00F36418">
        <w:rPr>
          <w:rFonts w:eastAsia="Calibri"/>
          <w:lang w:eastAsia="en-US"/>
        </w:rPr>
        <w:t xml:space="preserve"> ancak fetusta potansiyel faydası potansiyel riskinden yüksek olduğu doğrulanırsa gebelik sırasında kullanılmalıdır. </w:t>
      </w:r>
      <w:r w:rsidR="00C73BE2" w:rsidRPr="00F36418">
        <w:rPr>
          <w:rFonts w:eastAsia="Calibri"/>
          <w:lang w:eastAsia="en-US"/>
        </w:rPr>
        <w:t>BACTRİM</w:t>
      </w:r>
      <w:r w:rsidRPr="00F36418">
        <w:rPr>
          <w:rFonts w:eastAsia="Calibri"/>
          <w:lang w:eastAsia="en-US"/>
        </w:rPr>
        <w:t xml:space="preserve"> ile tedavi gören gebe kadınlara günde 5 mg folik asit verilmesi önerilmektedir. Gebeliğin son devresinde, yenidoğanlarda kernikterus riski açısından </w:t>
      </w:r>
      <w:r w:rsidR="00C73BE2" w:rsidRPr="00F36418">
        <w:rPr>
          <w:rFonts w:eastAsia="Calibri"/>
          <w:lang w:eastAsia="en-US"/>
        </w:rPr>
        <w:t>BACTRİM</w:t>
      </w:r>
      <w:r w:rsidRPr="00F36418">
        <w:rPr>
          <w:rFonts w:eastAsia="Calibri"/>
          <w:lang w:eastAsia="en-US"/>
        </w:rPr>
        <w:t xml:space="preserve">'in kullanılmasından kaçınılmalıdır. </w:t>
      </w:r>
    </w:p>
    <w:p w:rsidR="008A1E76" w:rsidRPr="00F36418" w:rsidRDefault="008A1E76" w:rsidP="009A1B75">
      <w:pPr>
        <w:pStyle w:val="ListeParagraf1"/>
        <w:spacing w:after="0"/>
        <w:ind w:left="0"/>
        <w:jc w:val="both"/>
        <w:rPr>
          <w:rFonts w:ascii="Times New Roman" w:hAnsi="Times New Roman"/>
          <w:sz w:val="24"/>
          <w:szCs w:val="24"/>
        </w:rPr>
      </w:pPr>
    </w:p>
    <w:p w:rsidR="008A1E76" w:rsidRPr="00F36418" w:rsidRDefault="00E50C19" w:rsidP="009A1B75">
      <w:pPr>
        <w:spacing w:line="276" w:lineRule="auto"/>
        <w:jc w:val="both"/>
        <w:rPr>
          <w:b/>
        </w:rPr>
      </w:pPr>
      <w:r w:rsidRPr="00F36418">
        <w:rPr>
          <w:b/>
        </w:rPr>
        <w:t>Laktasyon d</w:t>
      </w:r>
      <w:r w:rsidR="008A1E76" w:rsidRPr="00F36418">
        <w:rPr>
          <w:b/>
        </w:rPr>
        <w:t>önemi</w:t>
      </w:r>
    </w:p>
    <w:p w:rsidR="00124E14" w:rsidRPr="00F36418" w:rsidRDefault="00124E14" w:rsidP="009A1B75">
      <w:pPr>
        <w:tabs>
          <w:tab w:val="left" w:pos="-1440"/>
          <w:tab w:val="left" w:pos="-720"/>
          <w:tab w:val="left" w:pos="284"/>
        </w:tabs>
        <w:suppressAutoHyphens/>
        <w:spacing w:line="276" w:lineRule="auto"/>
        <w:jc w:val="both"/>
        <w:rPr>
          <w:rFonts w:eastAsia="Calibri"/>
          <w:lang w:eastAsia="en-US"/>
        </w:rPr>
      </w:pPr>
      <w:r w:rsidRPr="00F36418">
        <w:rPr>
          <w:rFonts w:eastAsia="Calibri"/>
          <w:lang w:eastAsia="en-US"/>
        </w:rPr>
        <w:t xml:space="preserve">TMP ve SMZ anne sütüne geçer. </w:t>
      </w:r>
      <w:r w:rsidR="00C73BE2" w:rsidRPr="00F36418">
        <w:rPr>
          <w:rFonts w:eastAsia="Calibri"/>
          <w:lang w:eastAsia="en-US"/>
        </w:rPr>
        <w:t>BACTRİM</w:t>
      </w:r>
      <w:r w:rsidRPr="00F36418">
        <w:rPr>
          <w:rFonts w:eastAsia="Calibri"/>
          <w:lang w:eastAsia="en-US"/>
        </w:rPr>
        <w:t>'in anne sütüyle beslenen bebeklerdeki miktarı düşük olduğu halde, bebeğe vereceği risk (kernikterus, aşırı duyarlılık) anneye sağlayacağı terapötik yarara karşı tartılarak karar verilmelidir.</w:t>
      </w:r>
    </w:p>
    <w:p w:rsidR="00244CA8" w:rsidRPr="00F36418" w:rsidRDefault="00244CA8" w:rsidP="00244CA8">
      <w:pPr>
        <w:pStyle w:val="ListeParagraf1"/>
        <w:spacing w:after="0"/>
        <w:ind w:left="0"/>
        <w:jc w:val="both"/>
        <w:rPr>
          <w:rFonts w:ascii="Times New Roman" w:hAnsi="Times New Roman"/>
          <w:b/>
          <w:sz w:val="24"/>
        </w:rPr>
      </w:pPr>
    </w:p>
    <w:p w:rsidR="00244CA8" w:rsidRPr="00F36418" w:rsidRDefault="00244CA8" w:rsidP="00244CA8">
      <w:pPr>
        <w:pStyle w:val="ListeParagraf1"/>
        <w:spacing w:after="0"/>
        <w:ind w:left="0"/>
        <w:jc w:val="both"/>
        <w:rPr>
          <w:rFonts w:ascii="Times New Roman" w:hAnsi="Times New Roman"/>
          <w:b/>
          <w:sz w:val="24"/>
        </w:rPr>
      </w:pPr>
      <w:r w:rsidRPr="00F36418">
        <w:rPr>
          <w:rFonts w:ascii="Times New Roman" w:hAnsi="Times New Roman"/>
          <w:b/>
          <w:sz w:val="24"/>
        </w:rPr>
        <w:t>Üreme yeteneği/Fertilite</w:t>
      </w:r>
    </w:p>
    <w:p w:rsidR="00244CA8" w:rsidRPr="00F36418" w:rsidRDefault="00244CA8" w:rsidP="00244CA8">
      <w:pPr>
        <w:spacing w:line="276" w:lineRule="auto"/>
        <w:jc w:val="both"/>
      </w:pPr>
      <w:r w:rsidRPr="00F36418">
        <w:t>Hayvanlar üzerinde yapılan araştırmalar üreme toksisitesinin bulunduğunu göstermiştir. İnsanlara yönelik potansiyel risk bilinmemektedir.</w:t>
      </w:r>
    </w:p>
    <w:p w:rsidR="00180DB0" w:rsidRPr="00F36418" w:rsidRDefault="00180DB0" w:rsidP="009A1B75">
      <w:pPr>
        <w:spacing w:line="276" w:lineRule="auto"/>
        <w:jc w:val="both"/>
        <w:rPr>
          <w:b/>
        </w:rPr>
      </w:pPr>
    </w:p>
    <w:p w:rsidR="008A1E76" w:rsidRPr="00F36418" w:rsidRDefault="008A1E76" w:rsidP="009A1B75">
      <w:pPr>
        <w:spacing w:line="276" w:lineRule="auto"/>
        <w:jc w:val="both"/>
        <w:rPr>
          <w:b/>
        </w:rPr>
      </w:pPr>
      <w:r w:rsidRPr="00F36418">
        <w:rPr>
          <w:b/>
        </w:rPr>
        <w:t>4.7</w:t>
      </w:r>
      <w:r w:rsidR="00124E14" w:rsidRPr="00F36418">
        <w:rPr>
          <w:b/>
        </w:rPr>
        <w:t>.</w:t>
      </w:r>
      <w:r w:rsidRPr="00F36418">
        <w:rPr>
          <w:b/>
        </w:rPr>
        <w:t xml:space="preserve"> Araç ve makine kullanımı üzerindeki etkiler</w:t>
      </w:r>
    </w:p>
    <w:p w:rsidR="008A1E76" w:rsidRPr="00F36418" w:rsidRDefault="008A1E76" w:rsidP="009A1B75">
      <w:pPr>
        <w:pStyle w:val="ListeParagraf1"/>
        <w:tabs>
          <w:tab w:val="left" w:pos="0"/>
        </w:tabs>
        <w:spacing w:after="0"/>
        <w:ind w:left="0"/>
        <w:jc w:val="both"/>
        <w:rPr>
          <w:rFonts w:ascii="Times New Roman" w:hAnsi="Times New Roman"/>
          <w:sz w:val="24"/>
          <w:szCs w:val="24"/>
        </w:rPr>
      </w:pPr>
      <w:r w:rsidRPr="00F36418">
        <w:rPr>
          <w:rFonts w:ascii="Times New Roman" w:hAnsi="Times New Roman"/>
          <w:sz w:val="24"/>
          <w:szCs w:val="24"/>
        </w:rPr>
        <w:t xml:space="preserve">BACTRİM’in araç ve makine kullanımı üzerindeki etkisini araştıran çalışma yürütülmemiştir. Bu aktiviteler üzerinde olumsuz etki, ilacın </w:t>
      </w:r>
      <w:proofErr w:type="gramStart"/>
      <w:r w:rsidRPr="00F36418">
        <w:rPr>
          <w:rFonts w:ascii="Times New Roman" w:hAnsi="Times New Roman"/>
          <w:sz w:val="24"/>
          <w:szCs w:val="24"/>
        </w:rPr>
        <w:t>farmakolojisinden</w:t>
      </w:r>
      <w:proofErr w:type="gramEnd"/>
      <w:r w:rsidRPr="00F36418">
        <w:rPr>
          <w:rFonts w:ascii="Times New Roman" w:hAnsi="Times New Roman"/>
          <w:sz w:val="24"/>
          <w:szCs w:val="24"/>
        </w:rPr>
        <w:t xml:space="preserve"> öngörülemez. Yine de, hastaların araç kullanma becerisi göz önüne alınırken, hastanın klinik durumu ve BACTRİM’in advers olay </w:t>
      </w:r>
      <w:proofErr w:type="gramStart"/>
      <w:r w:rsidRPr="00F36418">
        <w:rPr>
          <w:rFonts w:ascii="Times New Roman" w:hAnsi="Times New Roman"/>
          <w:sz w:val="24"/>
          <w:szCs w:val="24"/>
        </w:rPr>
        <w:t>profili</w:t>
      </w:r>
      <w:proofErr w:type="gramEnd"/>
      <w:r w:rsidRPr="00F36418">
        <w:rPr>
          <w:rFonts w:ascii="Times New Roman" w:hAnsi="Times New Roman"/>
          <w:sz w:val="24"/>
          <w:szCs w:val="24"/>
        </w:rPr>
        <w:t xml:space="preserve"> akılda tutulmalıdır.</w:t>
      </w:r>
    </w:p>
    <w:p w:rsidR="008A1E76" w:rsidRPr="00F36418" w:rsidRDefault="008A1E76" w:rsidP="009A1B75">
      <w:pPr>
        <w:spacing w:line="276" w:lineRule="auto"/>
        <w:jc w:val="both"/>
      </w:pPr>
    </w:p>
    <w:p w:rsidR="008A1E76" w:rsidRPr="00F36418" w:rsidRDefault="008A1E76" w:rsidP="009A1B75">
      <w:pPr>
        <w:spacing w:line="276" w:lineRule="auto"/>
        <w:jc w:val="both"/>
        <w:rPr>
          <w:b/>
        </w:rPr>
      </w:pPr>
      <w:r w:rsidRPr="00F36418">
        <w:rPr>
          <w:b/>
        </w:rPr>
        <w:t>4.8 İstenmeyen etkiler</w:t>
      </w:r>
    </w:p>
    <w:p w:rsidR="008A1E76" w:rsidRPr="00F36418" w:rsidRDefault="008A1E76" w:rsidP="009A1B75">
      <w:pPr>
        <w:pStyle w:val="ListeParagraf1"/>
        <w:spacing w:after="0"/>
        <w:ind w:left="0"/>
        <w:jc w:val="both"/>
        <w:rPr>
          <w:rFonts w:ascii="Times New Roman" w:hAnsi="Times New Roman"/>
          <w:sz w:val="24"/>
          <w:szCs w:val="24"/>
        </w:rPr>
      </w:pPr>
      <w:r w:rsidRPr="00F36418">
        <w:rPr>
          <w:rFonts w:ascii="Times New Roman" w:hAnsi="Times New Roman"/>
          <w:sz w:val="24"/>
          <w:szCs w:val="24"/>
        </w:rPr>
        <w:t xml:space="preserve">Aşağıdaki advers olaylarla ilişkili sıklık kategorileri tahmini hesaplamalardır. Çoğu olay için insidansı hesaplamak üzere uygun veri mevcut değildir. Ayrıca, advers olaylar, endikasyona bağlı olarak insidansta farklılık gösterebilir. </w:t>
      </w:r>
    </w:p>
    <w:p w:rsidR="008A1E76" w:rsidRPr="00F36418" w:rsidRDefault="008A1E76" w:rsidP="009A1B75">
      <w:pPr>
        <w:pStyle w:val="ListeParagraf1"/>
        <w:spacing w:after="0"/>
        <w:ind w:left="0"/>
        <w:jc w:val="both"/>
        <w:rPr>
          <w:rFonts w:ascii="Times New Roman" w:hAnsi="Times New Roman"/>
          <w:sz w:val="24"/>
          <w:szCs w:val="24"/>
        </w:rPr>
      </w:pPr>
    </w:p>
    <w:p w:rsidR="008A1E76" w:rsidRPr="00F36418" w:rsidRDefault="008A1E76" w:rsidP="009A1B75">
      <w:pPr>
        <w:pStyle w:val="ListeParagraf1"/>
        <w:spacing w:after="0"/>
        <w:ind w:left="0"/>
        <w:jc w:val="both"/>
        <w:rPr>
          <w:rFonts w:ascii="Times New Roman" w:hAnsi="Times New Roman"/>
          <w:sz w:val="24"/>
          <w:szCs w:val="24"/>
        </w:rPr>
      </w:pPr>
      <w:r w:rsidRPr="00F36418">
        <w:rPr>
          <w:rFonts w:ascii="Times New Roman" w:hAnsi="Times New Roman"/>
          <w:sz w:val="24"/>
          <w:szCs w:val="24"/>
        </w:rPr>
        <w:t>Çok yaygından seyreğe kadar değişen advers olayların sıklığını saptamak üzere geniş klinik çalışmalarının verileri kullanılmıştır. Çok nadir advers olaylar, primer olarak pazarlama sonrası deneyimlerden elde edilen verilerden saptanmış olup, bu nedenle “gerçek” bir sıklıktan ziyade bildirim oranını yansıtır.</w:t>
      </w:r>
    </w:p>
    <w:p w:rsidR="008C161F" w:rsidRPr="00F36418" w:rsidRDefault="008C161F" w:rsidP="009A1B75">
      <w:pPr>
        <w:autoSpaceDE w:val="0"/>
        <w:autoSpaceDN w:val="0"/>
        <w:adjustRightInd w:val="0"/>
        <w:spacing w:line="276" w:lineRule="auto"/>
        <w:jc w:val="both"/>
        <w:rPr>
          <w:bCs/>
        </w:rPr>
      </w:pPr>
      <w:r w:rsidRPr="00F36418">
        <w:rPr>
          <w:bCs/>
        </w:rPr>
        <w:t>Klinik çalışmalarda rapor edilen istenmeyen etkilerin sıklık sıralaması aşağıdaki gibidir:</w:t>
      </w:r>
    </w:p>
    <w:p w:rsidR="008C161F" w:rsidRPr="00F36418" w:rsidRDefault="008C161F" w:rsidP="009A1B75">
      <w:pPr>
        <w:autoSpaceDE w:val="0"/>
        <w:autoSpaceDN w:val="0"/>
        <w:adjustRightInd w:val="0"/>
        <w:spacing w:line="276" w:lineRule="auto"/>
        <w:jc w:val="both"/>
        <w:rPr>
          <w:bCs/>
        </w:rPr>
      </w:pPr>
      <w:r w:rsidRPr="00F36418">
        <w:rPr>
          <w:bCs/>
        </w:rPr>
        <w:t>Çok yaygın (≥1/10); Yaygın (≥1/100 ila &lt;1/10); Yaygın Olmayan (≥1/1000 ila &lt;1/100); Seyrek (≥1/10000 ila &lt;1/1000); Çok seyrek (&lt;1/10000), bilinmiyor (eldeki verilerden hareketle tahmin edilemiyor)</w:t>
      </w:r>
    </w:p>
    <w:p w:rsidR="008C161F" w:rsidRPr="00F36418" w:rsidRDefault="008C161F" w:rsidP="009A1B75">
      <w:pPr>
        <w:pStyle w:val="ListeParagraf1"/>
        <w:spacing w:after="0"/>
        <w:ind w:left="0"/>
        <w:jc w:val="both"/>
        <w:rPr>
          <w:rFonts w:ascii="Times New Roman" w:hAnsi="Times New Roman"/>
          <w:sz w:val="24"/>
          <w:szCs w:val="24"/>
          <w:lang w:eastAsia="tr-TR"/>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Enfeksiyonlar ve enfestasyonlar</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Yaygın: Monilial çoğalma</w:t>
      </w:r>
    </w:p>
    <w:p w:rsidR="008C161F" w:rsidRPr="00F36418" w:rsidRDefault="008C161F" w:rsidP="009A1B75">
      <w:pPr>
        <w:pStyle w:val="ListeParagraf1"/>
        <w:spacing w:after="0"/>
        <w:ind w:left="0"/>
        <w:jc w:val="both"/>
        <w:rPr>
          <w:rFonts w:ascii="Times New Roman" w:hAnsi="Times New Roman"/>
          <w:sz w:val="24"/>
        </w:rPr>
      </w:pPr>
    </w:p>
    <w:p w:rsidR="002F6A64" w:rsidRDefault="002F6A64" w:rsidP="009A1B75">
      <w:pPr>
        <w:pStyle w:val="ListeParagraf1"/>
        <w:spacing w:after="0"/>
        <w:ind w:left="0"/>
        <w:jc w:val="both"/>
        <w:rPr>
          <w:rFonts w:ascii="Times New Roman" w:hAnsi="Times New Roman"/>
          <w:b/>
          <w:sz w:val="24"/>
          <w:szCs w:val="24"/>
          <w:lang w:eastAsia="tr-TR"/>
        </w:rPr>
      </w:pPr>
    </w:p>
    <w:p w:rsidR="002F6A64" w:rsidRDefault="002F6A64" w:rsidP="009A1B75">
      <w:pPr>
        <w:pStyle w:val="ListeParagraf1"/>
        <w:spacing w:after="0"/>
        <w:ind w:left="0"/>
        <w:jc w:val="both"/>
        <w:rPr>
          <w:rFonts w:ascii="Times New Roman" w:hAnsi="Times New Roman"/>
          <w:b/>
          <w:sz w:val="24"/>
          <w:szCs w:val="24"/>
          <w:lang w:eastAsia="tr-TR"/>
        </w:rPr>
      </w:pPr>
    </w:p>
    <w:p w:rsidR="008C161F" w:rsidRPr="00F36418" w:rsidRDefault="008C161F" w:rsidP="009A1B75">
      <w:pPr>
        <w:pStyle w:val="ListeParagraf1"/>
        <w:spacing w:after="0"/>
        <w:ind w:left="0"/>
        <w:jc w:val="both"/>
        <w:rPr>
          <w:rFonts w:ascii="Times New Roman" w:hAnsi="Times New Roman"/>
          <w:sz w:val="24"/>
          <w:u w:val="single"/>
        </w:rPr>
      </w:pPr>
      <w:r w:rsidRPr="00F36418">
        <w:rPr>
          <w:rFonts w:ascii="Times New Roman" w:hAnsi="Times New Roman"/>
          <w:b/>
          <w:sz w:val="24"/>
          <w:szCs w:val="24"/>
          <w:lang w:eastAsia="tr-TR"/>
        </w:rPr>
        <w:lastRenderedPageBreak/>
        <w:t>Kan ve lenf sistemi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r w:rsidRPr="00F36418">
        <w:rPr>
          <w:rFonts w:ascii="Times New Roman" w:hAnsi="Times New Roman" w:hint="eastAsia"/>
          <w:b/>
          <w:sz w:val="24"/>
          <w:szCs w:val="24"/>
          <w:lang w:eastAsia="tr-TR"/>
        </w:rPr>
        <w:t>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Belli duyarlı G-6-PD eksikliği olan hastalarda, lökopeni, nötropeni, trombositopeni, agranülositoz, megaloblastik anemi, aplastik anemi, hemolitik anemi, methemoglobinemi, eozinofili, purpura, hemoliz</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Hematolojik değişikliklerin çoğu hafiftir ve tedavi kesildiğinde tersine çevrilebilir. Özellikle yaşlılarda, karaciğer veya böbrek fonksiyonu bozuk olanlarda veya folat durumu zayıf olan hastalarda, izole vakalarda şiddetli olabilse dahi, değişikliklerin çoğu klinik </w:t>
      </w:r>
      <w:proofErr w:type="gramStart"/>
      <w:r w:rsidRPr="00F36418">
        <w:rPr>
          <w:rFonts w:ascii="Times New Roman" w:hAnsi="Times New Roman"/>
          <w:sz w:val="24"/>
        </w:rPr>
        <w:t>semptomlara</w:t>
      </w:r>
      <w:proofErr w:type="gramEnd"/>
      <w:r w:rsidRPr="00F36418">
        <w:rPr>
          <w:rFonts w:ascii="Times New Roman" w:hAnsi="Times New Roman"/>
          <w:sz w:val="24"/>
        </w:rPr>
        <w:t xml:space="preserve"> neden olmaz. Risk taşıyan hastalarda ölümler kaydedilmiştir ve riskli hastalar dikkatli bir şekilde gözlemlenmelidir (bkz. </w:t>
      </w:r>
      <w:proofErr w:type="gramStart"/>
      <w:r w:rsidRPr="00F36418">
        <w:rPr>
          <w:rFonts w:ascii="Times New Roman" w:hAnsi="Times New Roman"/>
          <w:sz w:val="24"/>
        </w:rPr>
        <w:t>4.3</w:t>
      </w:r>
      <w:proofErr w:type="gramEnd"/>
      <w:r w:rsidRPr="00F36418">
        <w:rPr>
          <w:rFonts w:ascii="Times New Roman" w:hAnsi="Times New Roman"/>
          <w:sz w:val="24"/>
        </w:rPr>
        <w:t xml:space="preserve"> Kontrendikasyonlar)</w:t>
      </w: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Bağışıklık sistemi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r w:rsidRPr="00F36418">
        <w:rPr>
          <w:rFonts w:ascii="Times New Roman" w:hAnsi="Times New Roman" w:hint="eastAsia"/>
          <w:b/>
          <w:sz w:val="24"/>
          <w:szCs w:val="24"/>
          <w:lang w:eastAsia="tr-TR"/>
        </w:rPr>
        <w:t>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Çok seyrek: Serum hastalığı, </w:t>
      </w:r>
      <w:proofErr w:type="gramStart"/>
      <w:r w:rsidRPr="00F36418">
        <w:rPr>
          <w:rFonts w:ascii="Times New Roman" w:hAnsi="Times New Roman"/>
          <w:sz w:val="24"/>
        </w:rPr>
        <w:t>anafilaksi</w:t>
      </w:r>
      <w:proofErr w:type="gramEnd"/>
      <w:r w:rsidRPr="00F36418">
        <w:rPr>
          <w:rFonts w:ascii="Times New Roman" w:hAnsi="Times New Roman"/>
          <w:sz w:val="24"/>
        </w:rPr>
        <w:t>, alerjik miyokardit, anjiyoödem, ilaç ateşi, Henoch-Schönlein purpurasına benzeyen alerjik vaskülit, periareteritis nodoza, sistemik lupus eritematozus</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Metabolizma ve beslenme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r w:rsidRPr="00F36418">
        <w:rPr>
          <w:rFonts w:ascii="Times New Roman" w:hAnsi="Times New Roman" w:hint="eastAsia"/>
          <w:b/>
          <w:sz w:val="24"/>
          <w:szCs w:val="24"/>
          <w:lang w:eastAsia="tr-TR"/>
        </w:rPr>
        <w:t>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yaygın: Hiperkalemi</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Hipoglisemi, hiponatremi, anoreksi</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Ko-trimoksazol yaşlı hastalarda kullanıldığında veya yüksek doz ko-trimoksazol alan hastalarda, bu hastalar, hiperkalemi ve hiponatremiye daha duyarlı olabilecekleri için yakın gözetim önerilir.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Psikiyatrik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Çok seyrek:   Depresyon, </w:t>
      </w:r>
      <w:proofErr w:type="gramStart"/>
      <w:r w:rsidRPr="00F36418">
        <w:rPr>
          <w:rFonts w:ascii="Times New Roman" w:hAnsi="Times New Roman"/>
          <w:sz w:val="24"/>
        </w:rPr>
        <w:t>halüsinasyonlar</w:t>
      </w:r>
      <w:proofErr w:type="gramEnd"/>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rPr>
      </w:pPr>
      <w:r w:rsidRPr="00F36418">
        <w:rPr>
          <w:rFonts w:ascii="Times New Roman" w:hAnsi="Times New Roman"/>
          <w:b/>
          <w:sz w:val="24"/>
        </w:rPr>
        <w:t xml:space="preserve">Sinir sistemi </w:t>
      </w:r>
      <w:r w:rsidRPr="00F36418">
        <w:rPr>
          <w:rFonts w:ascii="Times New Roman" w:hAnsi="Times New Roman"/>
          <w:b/>
          <w:sz w:val="24"/>
          <w:szCs w:val="24"/>
          <w:lang w:eastAsia="tr-TR"/>
        </w:rPr>
        <w:t>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r w:rsidRPr="00F36418">
        <w:rPr>
          <w:rFonts w:ascii="Times New Roman" w:hAnsi="Times New Roman" w:hint="eastAsia"/>
          <w:b/>
          <w:sz w:val="24"/>
          <w:szCs w:val="24"/>
          <w:lang w:eastAsia="tr-TR"/>
        </w:rPr>
        <w:t>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Yaygın</w:t>
      </w:r>
      <w:r w:rsidRPr="00F36418">
        <w:rPr>
          <w:rFonts w:ascii="Times New Roman" w:hAnsi="Times New Roman"/>
          <w:sz w:val="24"/>
        </w:rPr>
        <w:tab/>
        <w:t>: Baş ağrısı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Aseptik menenjit, konvüls</w:t>
      </w:r>
      <w:r w:rsidR="008D5FDF" w:rsidRPr="00F36418">
        <w:rPr>
          <w:rFonts w:ascii="Times New Roman" w:hAnsi="Times New Roman"/>
          <w:sz w:val="24"/>
        </w:rPr>
        <w:t>i</w:t>
      </w:r>
      <w:r w:rsidRPr="00F36418">
        <w:rPr>
          <w:rFonts w:ascii="Times New Roman" w:hAnsi="Times New Roman"/>
          <w:sz w:val="24"/>
        </w:rPr>
        <w:t>yonlar, periferik nörit, ataksi, vertigo, tinnitus, baş dönmesi</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İlaç kesildiği zaman aseptik menenjit</w:t>
      </w:r>
      <w:r w:rsidR="008D5FDF" w:rsidRPr="00F36418">
        <w:rPr>
          <w:rFonts w:ascii="Times New Roman" w:hAnsi="Times New Roman"/>
          <w:sz w:val="24"/>
        </w:rPr>
        <w:t xml:space="preserve"> hızla geri dönmüştür, ama ko-t</w:t>
      </w:r>
      <w:r w:rsidRPr="00F36418">
        <w:rPr>
          <w:rFonts w:ascii="Times New Roman" w:hAnsi="Times New Roman"/>
          <w:sz w:val="24"/>
        </w:rPr>
        <w:t>r</w:t>
      </w:r>
      <w:r w:rsidR="008D5FDF" w:rsidRPr="00F36418">
        <w:rPr>
          <w:rFonts w:ascii="Times New Roman" w:hAnsi="Times New Roman"/>
          <w:sz w:val="24"/>
        </w:rPr>
        <w:t>i</w:t>
      </w:r>
      <w:r w:rsidRPr="00F36418">
        <w:rPr>
          <w:rFonts w:ascii="Times New Roman" w:hAnsi="Times New Roman"/>
          <w:sz w:val="24"/>
        </w:rPr>
        <w:t>moksazol veya tek başına trimetroprime tekrar maruziyet olduğunda bir dizi vakada tekrar ortaya çıkmıştır.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Göz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r w:rsidRPr="00F36418">
        <w:rPr>
          <w:rFonts w:ascii="Times New Roman" w:hAnsi="Times New Roman" w:hint="eastAsia"/>
          <w:b/>
          <w:sz w:val="24"/>
          <w:szCs w:val="24"/>
          <w:lang w:eastAsia="tr-TR"/>
        </w:rPr>
        <w:t>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Üveit</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Solunum, gö</w:t>
      </w:r>
      <w:r w:rsidRPr="00F36418">
        <w:rPr>
          <w:rFonts w:ascii="Times New Roman" w:hAnsi="Times New Roman" w:hint="eastAsia"/>
          <w:b/>
          <w:sz w:val="24"/>
          <w:szCs w:val="24"/>
          <w:lang w:eastAsia="tr-TR"/>
        </w:rPr>
        <w:t>ğü</w:t>
      </w:r>
      <w:r w:rsidRPr="00F36418">
        <w:rPr>
          <w:rFonts w:ascii="Times New Roman" w:hAnsi="Times New Roman"/>
          <w:b/>
          <w:sz w:val="24"/>
          <w:szCs w:val="24"/>
          <w:lang w:eastAsia="tr-TR"/>
        </w:rPr>
        <w:t>s bozukluklar</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 xml:space="preserve"> ve mediastinal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Öksürük, nefes darlığı, pulmoner infiltrasyonlar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Öksürük, nefes darlığı ve pulmoner infiltrasyonlar, çok seyrek olsa da fatal olan respiratuvar aşırı duyarlılığın erken göstergeleri olabilir. </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Gastrointestinal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 xml:space="preserve">klar </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lastRenderedPageBreak/>
        <w:t>Yaygın: Bulantı, diyare</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Seyrek: Kusma</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Glossit, stomatit, psödomembranöz kolit, pankreatit</w:t>
      </w:r>
    </w:p>
    <w:p w:rsidR="008C161F" w:rsidRPr="00F36418" w:rsidRDefault="008C161F" w:rsidP="009A1B75">
      <w:pPr>
        <w:pStyle w:val="ListeParagraf1"/>
        <w:spacing w:after="0"/>
        <w:ind w:left="0"/>
        <w:jc w:val="both"/>
        <w:rPr>
          <w:rFonts w:ascii="Times New Roman" w:hAnsi="Times New Roman"/>
          <w:sz w:val="24"/>
        </w:rPr>
      </w:pPr>
    </w:p>
    <w:p w:rsidR="006113B7" w:rsidRPr="00F36418" w:rsidRDefault="006113B7"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Hepato-bilier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Serum transaminazlarda yükselme, bilirubin düzeylerinde yükselme, kolestatik sarılık, hepatik nekroz</w:t>
      </w:r>
    </w:p>
    <w:p w:rsidR="00180DB0" w:rsidRPr="00F36418" w:rsidRDefault="00180DB0"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Kolestatik sarılık ve hepatik nekroz ölümcül olabilir.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Deri ve deri alt</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 xml:space="preserve"> doku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r w:rsidRPr="00F36418">
        <w:rPr>
          <w:rFonts w:ascii="Times New Roman" w:hAnsi="Times New Roman" w:hint="eastAsia"/>
          <w:b/>
          <w:sz w:val="24"/>
          <w:szCs w:val="24"/>
          <w:lang w:eastAsia="tr-TR"/>
        </w:rPr>
        <w:t>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Yaygın: Cilt döküntüleri</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Çok seyrek: Fotosensitivite, eksfoliatif dermatit, sabit ilaç erüpsiyonu, eritema multiforme, Stevens-Johnson </w:t>
      </w:r>
      <w:proofErr w:type="gramStart"/>
      <w:r w:rsidRPr="00F36418">
        <w:rPr>
          <w:rFonts w:ascii="Times New Roman" w:hAnsi="Times New Roman"/>
          <w:sz w:val="24"/>
        </w:rPr>
        <w:t>sendromu</w:t>
      </w:r>
      <w:proofErr w:type="gramEnd"/>
      <w:r w:rsidRPr="00F36418">
        <w:rPr>
          <w:rFonts w:ascii="Times New Roman" w:hAnsi="Times New Roman"/>
          <w:sz w:val="24"/>
        </w:rPr>
        <w:t>, Lyell sendromu (toksik epidermal nekroliz)</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Lyell’s </w:t>
      </w:r>
      <w:proofErr w:type="gramStart"/>
      <w:r w:rsidRPr="00F36418">
        <w:rPr>
          <w:rFonts w:ascii="Times New Roman" w:hAnsi="Times New Roman"/>
          <w:sz w:val="24"/>
        </w:rPr>
        <w:t>sendromu</w:t>
      </w:r>
      <w:proofErr w:type="gramEnd"/>
      <w:r w:rsidRPr="00F36418">
        <w:rPr>
          <w:rFonts w:ascii="Times New Roman" w:hAnsi="Times New Roman"/>
          <w:sz w:val="24"/>
        </w:rPr>
        <w:t xml:space="preserve"> yüksek mortalite oranına sahiptir.</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Kas-iskelet bozukluklar</w:t>
      </w:r>
      <w:r w:rsidR="00376B13" w:rsidRPr="00F36418">
        <w:rPr>
          <w:rFonts w:ascii="Times New Roman" w:hAnsi="Times New Roman"/>
          <w:b/>
          <w:sz w:val="24"/>
          <w:szCs w:val="24"/>
          <w:lang w:eastAsia="tr-TR"/>
        </w:rPr>
        <w:t>ı</w:t>
      </w:r>
      <w:r w:rsidRPr="00F36418">
        <w:rPr>
          <w:rFonts w:ascii="Times New Roman" w:hAnsi="Times New Roman"/>
          <w:b/>
          <w:sz w:val="24"/>
          <w:szCs w:val="24"/>
          <w:lang w:eastAsia="tr-TR"/>
        </w:rPr>
        <w:t>, ba</w:t>
      </w:r>
      <w:r w:rsidRPr="00F36418">
        <w:rPr>
          <w:rFonts w:ascii="Times New Roman" w:hAnsi="Times New Roman" w:hint="eastAsia"/>
          <w:b/>
          <w:sz w:val="24"/>
          <w:szCs w:val="24"/>
          <w:lang w:eastAsia="tr-TR"/>
        </w:rPr>
        <w:t>ğ</w:t>
      </w:r>
      <w:r w:rsidRPr="00F36418">
        <w:rPr>
          <w:rFonts w:ascii="Times New Roman" w:hAnsi="Times New Roman"/>
          <w:b/>
          <w:sz w:val="24"/>
          <w:szCs w:val="24"/>
          <w:lang w:eastAsia="tr-TR"/>
        </w:rPr>
        <w:t xml:space="preserve"> doku ve kemik 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r w:rsidRPr="00F36418">
        <w:rPr>
          <w:rFonts w:ascii="Times New Roman" w:hAnsi="Times New Roman" w:hint="eastAsia"/>
          <w:b/>
          <w:sz w:val="24"/>
          <w:szCs w:val="24"/>
          <w:lang w:eastAsia="tr-TR"/>
        </w:rPr>
        <w:t>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Artralji, miyalji</w:t>
      </w:r>
    </w:p>
    <w:p w:rsidR="008C161F" w:rsidRPr="00F36418" w:rsidRDefault="008C161F"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 xml:space="preserve">Böbrek ve idrar </w:t>
      </w:r>
      <w:r w:rsidR="00A523BB" w:rsidRPr="00966857">
        <w:rPr>
          <w:rFonts w:ascii="Times New Roman" w:hAnsi="Times New Roman"/>
          <w:b/>
          <w:color w:val="0070C0"/>
          <w:sz w:val="24"/>
          <w:szCs w:val="24"/>
          <w:lang w:eastAsia="tr-TR"/>
        </w:rPr>
        <w:t xml:space="preserve">yolu </w:t>
      </w:r>
      <w:r w:rsidRPr="00F36418">
        <w:rPr>
          <w:rFonts w:ascii="Times New Roman" w:hAnsi="Times New Roman"/>
          <w:b/>
          <w:sz w:val="24"/>
          <w:szCs w:val="24"/>
          <w:lang w:eastAsia="tr-TR"/>
        </w:rPr>
        <w:t>hastal</w:t>
      </w:r>
      <w:r w:rsidRPr="00F36418">
        <w:rPr>
          <w:rFonts w:ascii="Times New Roman" w:hAnsi="Times New Roman" w:hint="eastAsia"/>
          <w:b/>
          <w:sz w:val="24"/>
          <w:szCs w:val="24"/>
          <w:lang w:eastAsia="tr-TR"/>
        </w:rPr>
        <w:t>ı</w:t>
      </w:r>
      <w:r w:rsidRPr="00F36418">
        <w:rPr>
          <w:rFonts w:ascii="Times New Roman" w:hAnsi="Times New Roman"/>
          <w:b/>
          <w:sz w:val="24"/>
          <w:szCs w:val="24"/>
          <w:lang w:eastAsia="tr-TR"/>
        </w:rPr>
        <w:t>klar</w:t>
      </w:r>
      <w:r w:rsidRPr="00F36418">
        <w:rPr>
          <w:rFonts w:ascii="Times New Roman" w:hAnsi="Times New Roman" w:hint="eastAsia"/>
          <w:b/>
          <w:sz w:val="24"/>
          <w:szCs w:val="24"/>
          <w:lang w:eastAsia="tr-TR"/>
        </w:rPr>
        <w:t>ı</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Böbrek fonksiyonunda bozukluk (bazen böbrek yetmezliği olarak bildirilir), intersitisyel nefrit</w:t>
      </w:r>
    </w:p>
    <w:p w:rsidR="008C161F" w:rsidRPr="00F36418" w:rsidRDefault="008C161F" w:rsidP="009A1B75">
      <w:pPr>
        <w:pStyle w:val="ListeParagraf1"/>
        <w:spacing w:after="0"/>
        <w:ind w:left="0"/>
        <w:jc w:val="both"/>
        <w:rPr>
          <w:rFonts w:ascii="Times New Roman" w:hAnsi="Times New Roman"/>
          <w:b/>
          <w:sz w:val="24"/>
          <w:szCs w:val="24"/>
          <w:lang w:eastAsia="tr-TR"/>
        </w:rPr>
      </w:pPr>
    </w:p>
    <w:p w:rsidR="008C161F" w:rsidRPr="00F36418" w:rsidRDefault="008C161F" w:rsidP="009A1B75">
      <w:pPr>
        <w:pStyle w:val="ListeParagraf1"/>
        <w:spacing w:after="0"/>
        <w:ind w:left="0"/>
        <w:jc w:val="both"/>
        <w:rPr>
          <w:rFonts w:ascii="Times New Roman" w:hAnsi="Times New Roman"/>
          <w:b/>
          <w:sz w:val="24"/>
          <w:szCs w:val="24"/>
          <w:lang w:eastAsia="tr-TR"/>
        </w:rPr>
      </w:pPr>
      <w:r w:rsidRPr="00F36418">
        <w:rPr>
          <w:rFonts w:ascii="Times New Roman" w:hAnsi="Times New Roman"/>
          <w:b/>
          <w:sz w:val="24"/>
          <w:szCs w:val="24"/>
          <w:lang w:eastAsia="tr-TR"/>
        </w:rPr>
        <w:t>Pneumocystis jiroveci (P.carinii) pnömonisi (PCP) tedavisi ile ilişkili etkiler</w:t>
      </w: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Çok seyrek: Ciddi aşırı duyarlılık reaksiyonları, döküntü, ateş, nötropeni, trombositopeni, yüksek karaciğer enzimleri, hiperkalemi, hiponatremi</w:t>
      </w:r>
    </w:p>
    <w:p w:rsidR="00180DB0" w:rsidRPr="00F36418" w:rsidRDefault="00180DB0" w:rsidP="009A1B75">
      <w:pPr>
        <w:pStyle w:val="ListeParagraf1"/>
        <w:spacing w:after="0"/>
        <w:ind w:left="0"/>
        <w:jc w:val="both"/>
        <w:rPr>
          <w:rFonts w:ascii="Times New Roman" w:hAnsi="Times New Roman"/>
          <w:sz w:val="24"/>
        </w:rPr>
      </w:pPr>
    </w:p>
    <w:p w:rsidR="008C161F" w:rsidRPr="00F36418" w:rsidRDefault="008C161F"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PCP tedavisinde kullanılan yüksek dozlarda, tedavinin kesilmesine neden olan ciddi aşırı duyarlılık reaksiyonları bildirilmiştir. Kemik iliği depresyonu belirtileri ortaya çıkarsa, hastaya kalsiyum folinat desteği verilmelidir (5-10 mg/gün). Ko-trimoksazole tekrar maruziyet olduğunda PCP hastalarında ciddi aşırı duyarlılık reaksiyonları bildirilmiştir (bazen birkaç günlük bir doz aralığından sonra). </w:t>
      </w:r>
    </w:p>
    <w:p w:rsidR="00E50C19" w:rsidRPr="00F36418" w:rsidRDefault="00E50C19" w:rsidP="009A1B75">
      <w:pPr>
        <w:widowControl w:val="0"/>
        <w:suppressAutoHyphens/>
        <w:spacing w:line="276" w:lineRule="auto"/>
        <w:jc w:val="both"/>
        <w:rPr>
          <w:rFonts w:eastAsia="Calibri"/>
          <w:lang w:eastAsia="en-US"/>
        </w:rPr>
      </w:pPr>
    </w:p>
    <w:p w:rsidR="00391B52" w:rsidRPr="00F36418" w:rsidRDefault="00391B52" w:rsidP="009A1B75">
      <w:pPr>
        <w:widowControl w:val="0"/>
        <w:suppressAutoHyphens/>
        <w:spacing w:line="276" w:lineRule="auto"/>
        <w:jc w:val="both"/>
        <w:rPr>
          <w:b/>
        </w:rPr>
      </w:pPr>
      <w:r w:rsidRPr="00F36418">
        <w:rPr>
          <w:b/>
        </w:rPr>
        <w:t>Genel bozukluklar ve uygulama bölgesine ilişkin hastalıklar</w:t>
      </w:r>
    </w:p>
    <w:p w:rsidR="00391B52" w:rsidRPr="00F36418" w:rsidRDefault="00930665" w:rsidP="009A1B75">
      <w:pPr>
        <w:pStyle w:val="ListeParagraf1"/>
        <w:spacing w:after="0"/>
        <w:ind w:left="0"/>
        <w:jc w:val="both"/>
        <w:rPr>
          <w:rFonts w:ascii="Times New Roman" w:hAnsi="Times New Roman"/>
          <w:sz w:val="24"/>
        </w:rPr>
      </w:pPr>
      <w:r w:rsidRPr="00F36418">
        <w:rPr>
          <w:rFonts w:ascii="Times New Roman" w:hAnsi="Times New Roman"/>
          <w:sz w:val="24"/>
        </w:rPr>
        <w:t>Yaygın:</w:t>
      </w:r>
      <w:r w:rsidR="008C161F" w:rsidRPr="00F36418">
        <w:rPr>
          <w:rFonts w:ascii="Times New Roman" w:hAnsi="Times New Roman"/>
          <w:sz w:val="24"/>
        </w:rPr>
        <w:t xml:space="preserve"> </w:t>
      </w:r>
      <w:r w:rsidRPr="00F36418">
        <w:rPr>
          <w:rFonts w:ascii="Times New Roman" w:hAnsi="Times New Roman"/>
          <w:sz w:val="24"/>
        </w:rPr>
        <w:t>D</w:t>
      </w:r>
      <w:r w:rsidR="00391B52" w:rsidRPr="00F36418">
        <w:rPr>
          <w:rFonts w:ascii="Times New Roman" w:hAnsi="Times New Roman"/>
          <w:sz w:val="24"/>
        </w:rPr>
        <w:t>eri döküntüleri ve gastrointestinal bozukluklardır.</w:t>
      </w:r>
    </w:p>
    <w:p w:rsidR="008C161F" w:rsidRPr="00F36418" w:rsidRDefault="008C161F" w:rsidP="009A1B75">
      <w:pPr>
        <w:pStyle w:val="ListeParagraf1"/>
        <w:spacing w:after="0"/>
        <w:ind w:left="0"/>
        <w:jc w:val="both"/>
        <w:rPr>
          <w:rFonts w:ascii="Times New Roman" w:hAnsi="Times New Roman"/>
          <w:sz w:val="24"/>
        </w:rPr>
      </w:pPr>
    </w:p>
    <w:p w:rsidR="00930665" w:rsidRPr="00F36418" w:rsidRDefault="00391B52"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Her ilaçla olabildiği gibi bu bileşiğe aşırı duyarlılığı olan hastalarda, ateş, anjiyonörotik ödem, anaflaktoid reaksiyonlar, hipersensitivite reaksiyonları ve serum hastalığı gibi alerjik reaksiyonlar görülebilir. </w:t>
      </w:r>
    </w:p>
    <w:p w:rsidR="008C161F" w:rsidRPr="00F36418" w:rsidRDefault="008C161F" w:rsidP="009A1B75">
      <w:pPr>
        <w:pStyle w:val="ListeParagraf1"/>
        <w:spacing w:after="0"/>
        <w:ind w:left="0"/>
        <w:jc w:val="both"/>
        <w:rPr>
          <w:rFonts w:ascii="Times New Roman" w:hAnsi="Times New Roman"/>
          <w:sz w:val="24"/>
        </w:rPr>
      </w:pPr>
    </w:p>
    <w:p w:rsidR="00930665" w:rsidRPr="00F36418" w:rsidRDefault="00930665" w:rsidP="009A1B75">
      <w:pPr>
        <w:pStyle w:val="ListeParagraf1"/>
        <w:spacing w:after="0"/>
        <w:ind w:left="0"/>
        <w:jc w:val="both"/>
        <w:rPr>
          <w:rFonts w:ascii="Times New Roman" w:hAnsi="Times New Roman"/>
          <w:sz w:val="24"/>
        </w:rPr>
      </w:pPr>
      <w:r w:rsidRPr="00F36418">
        <w:rPr>
          <w:rFonts w:ascii="Times New Roman" w:hAnsi="Times New Roman"/>
          <w:sz w:val="24"/>
        </w:rPr>
        <w:t>Seyrek:</w:t>
      </w:r>
      <w:r w:rsidR="008C161F" w:rsidRPr="00F36418">
        <w:rPr>
          <w:rFonts w:ascii="Times New Roman" w:hAnsi="Times New Roman"/>
          <w:sz w:val="24"/>
        </w:rPr>
        <w:t xml:space="preserve"> </w:t>
      </w:r>
      <w:r w:rsidRPr="00F36418">
        <w:rPr>
          <w:rFonts w:ascii="Times New Roman" w:hAnsi="Times New Roman"/>
          <w:sz w:val="24"/>
        </w:rPr>
        <w:t>E</w:t>
      </w:r>
      <w:r w:rsidR="00391B52" w:rsidRPr="00F36418">
        <w:rPr>
          <w:rFonts w:ascii="Times New Roman" w:hAnsi="Times New Roman"/>
          <w:sz w:val="24"/>
        </w:rPr>
        <w:t xml:space="preserve">ozinofilik veya alerjik alveolitte görülene benzer pulmoner infiltrasyon bildirilmiştir. Tedavi sırasında, öksürük veya nefes darlığı gibi </w:t>
      </w:r>
      <w:proofErr w:type="gramStart"/>
      <w:r w:rsidR="00391B52" w:rsidRPr="00F36418">
        <w:rPr>
          <w:rFonts w:ascii="Times New Roman" w:hAnsi="Times New Roman"/>
          <w:sz w:val="24"/>
        </w:rPr>
        <w:t>semptomlar</w:t>
      </w:r>
      <w:proofErr w:type="gramEnd"/>
      <w:r w:rsidR="00391B52" w:rsidRPr="00F36418">
        <w:rPr>
          <w:rFonts w:ascii="Times New Roman" w:hAnsi="Times New Roman"/>
          <w:sz w:val="24"/>
        </w:rPr>
        <w:t xml:space="preserve"> ortaya çıkar veya </w:t>
      </w:r>
      <w:r w:rsidR="00391B52" w:rsidRPr="00F36418">
        <w:rPr>
          <w:rFonts w:ascii="Times New Roman" w:hAnsi="Times New Roman"/>
          <w:sz w:val="24"/>
        </w:rPr>
        <w:lastRenderedPageBreak/>
        <w:t xml:space="preserve">beklenmedik bir şekilde kötüleşirse, hasta yeniden değerlendirilmeli ve BACTRİM tedavisinin kesilmesi düşünülmelidir. </w:t>
      </w:r>
    </w:p>
    <w:p w:rsidR="008C161F" w:rsidRPr="00F36418" w:rsidRDefault="008C161F" w:rsidP="009A1B75">
      <w:pPr>
        <w:pStyle w:val="ListeParagraf1"/>
        <w:spacing w:after="0"/>
        <w:ind w:left="0"/>
        <w:jc w:val="both"/>
        <w:rPr>
          <w:rFonts w:ascii="Times New Roman" w:hAnsi="Times New Roman"/>
          <w:sz w:val="24"/>
        </w:rPr>
      </w:pPr>
    </w:p>
    <w:p w:rsidR="00930665" w:rsidRPr="00F36418" w:rsidRDefault="00930665"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Seyrek: </w:t>
      </w:r>
      <w:r w:rsidR="00391B52" w:rsidRPr="00F36418">
        <w:rPr>
          <w:rFonts w:ascii="Times New Roman" w:hAnsi="Times New Roman"/>
          <w:sz w:val="24"/>
        </w:rPr>
        <w:t>Periarteritis nodosa ve alerjik miyokardit</w:t>
      </w:r>
      <w:r w:rsidRPr="00F36418">
        <w:rPr>
          <w:rFonts w:ascii="Times New Roman" w:hAnsi="Times New Roman"/>
          <w:sz w:val="24"/>
        </w:rPr>
        <w:t>.</w:t>
      </w:r>
      <w:r w:rsidR="00391B52" w:rsidRPr="00F36418">
        <w:rPr>
          <w:rFonts w:ascii="Times New Roman" w:hAnsi="Times New Roman"/>
          <w:sz w:val="24"/>
        </w:rPr>
        <w:t xml:space="preserve"> </w:t>
      </w:r>
    </w:p>
    <w:p w:rsidR="008C161F" w:rsidRPr="00F36418" w:rsidRDefault="008C161F" w:rsidP="009A1B75">
      <w:pPr>
        <w:pStyle w:val="ListeParagraf1"/>
        <w:spacing w:after="0"/>
        <w:ind w:left="0"/>
        <w:jc w:val="both"/>
        <w:rPr>
          <w:rFonts w:ascii="Times New Roman" w:hAnsi="Times New Roman"/>
          <w:sz w:val="24"/>
        </w:rPr>
      </w:pPr>
    </w:p>
    <w:p w:rsidR="00391B52" w:rsidRPr="00F36418" w:rsidRDefault="00930665"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Bilinmiyor: </w:t>
      </w:r>
      <w:r w:rsidR="00391B52" w:rsidRPr="00F36418">
        <w:rPr>
          <w:rFonts w:ascii="Times New Roman" w:hAnsi="Times New Roman"/>
          <w:sz w:val="24"/>
        </w:rPr>
        <w:t xml:space="preserve">Candidiasis gibi fungal </w:t>
      </w:r>
      <w:proofErr w:type="gramStart"/>
      <w:r w:rsidR="00391B52" w:rsidRPr="00F36418">
        <w:rPr>
          <w:rFonts w:ascii="Times New Roman" w:hAnsi="Times New Roman"/>
          <w:sz w:val="24"/>
        </w:rPr>
        <w:t>enfeksiyonlar</w:t>
      </w:r>
      <w:proofErr w:type="gramEnd"/>
      <w:r w:rsidR="00391B52" w:rsidRPr="00F36418">
        <w:rPr>
          <w:rFonts w:ascii="Times New Roman" w:hAnsi="Times New Roman"/>
          <w:sz w:val="24"/>
        </w:rPr>
        <w:t xml:space="preserve"> bildirilmiştir</w:t>
      </w:r>
    </w:p>
    <w:p w:rsidR="008C161F" w:rsidRPr="00F36418" w:rsidRDefault="008C161F" w:rsidP="009A1B75">
      <w:pPr>
        <w:pStyle w:val="ListeParagraf1"/>
        <w:spacing w:after="0"/>
        <w:ind w:left="0"/>
        <w:jc w:val="both"/>
        <w:rPr>
          <w:rFonts w:ascii="Times New Roman" w:hAnsi="Times New Roman"/>
          <w:sz w:val="24"/>
        </w:rPr>
      </w:pPr>
    </w:p>
    <w:p w:rsidR="00391B52" w:rsidRPr="00F36418" w:rsidRDefault="00930665" w:rsidP="009A1B75">
      <w:pPr>
        <w:pStyle w:val="ListeParagraf1"/>
        <w:spacing w:after="0"/>
        <w:ind w:left="0"/>
        <w:jc w:val="both"/>
        <w:rPr>
          <w:rFonts w:ascii="Times New Roman" w:hAnsi="Times New Roman"/>
          <w:sz w:val="24"/>
        </w:rPr>
      </w:pPr>
      <w:r w:rsidRPr="00F36418">
        <w:rPr>
          <w:rFonts w:ascii="Times New Roman" w:hAnsi="Times New Roman"/>
          <w:sz w:val="24"/>
        </w:rPr>
        <w:t>Bilinmiyor:</w:t>
      </w:r>
      <w:r w:rsidR="008C161F" w:rsidRPr="00F36418">
        <w:rPr>
          <w:rFonts w:ascii="Times New Roman" w:hAnsi="Times New Roman"/>
          <w:sz w:val="24"/>
        </w:rPr>
        <w:t xml:space="preserve"> </w:t>
      </w:r>
      <w:r w:rsidR="00391B52" w:rsidRPr="00F36418">
        <w:rPr>
          <w:rFonts w:ascii="Times New Roman" w:hAnsi="Times New Roman"/>
          <w:sz w:val="24"/>
        </w:rPr>
        <w:t>BACTRİM kullanan AIDS hastalarında deri döküntüsü, ateş, lökopeni, transaminaz değerlerinde artış gibi yan etkilerin ortaya çıkması AIDS olmayan ve BACTRİM kullanan hastalara göre daha fazla olarak bildirilmiştir.</w:t>
      </w:r>
    </w:p>
    <w:p w:rsidR="008C161F" w:rsidRPr="00F36418" w:rsidRDefault="008C161F" w:rsidP="009A1B75">
      <w:pPr>
        <w:pStyle w:val="ListeParagraf1"/>
        <w:spacing w:after="0"/>
        <w:ind w:left="0"/>
        <w:jc w:val="both"/>
        <w:rPr>
          <w:rFonts w:ascii="Times New Roman" w:hAnsi="Times New Roman"/>
          <w:sz w:val="24"/>
        </w:rPr>
      </w:pPr>
    </w:p>
    <w:p w:rsidR="00391B52" w:rsidRPr="00F36418" w:rsidRDefault="00930665" w:rsidP="009A1B75">
      <w:pPr>
        <w:pStyle w:val="ListeParagraf1"/>
        <w:spacing w:after="0"/>
        <w:ind w:left="0"/>
        <w:jc w:val="both"/>
        <w:rPr>
          <w:rFonts w:ascii="Times New Roman" w:hAnsi="Times New Roman"/>
          <w:sz w:val="24"/>
        </w:rPr>
      </w:pPr>
      <w:r w:rsidRPr="00F36418">
        <w:rPr>
          <w:rFonts w:ascii="Times New Roman" w:hAnsi="Times New Roman"/>
          <w:sz w:val="24"/>
        </w:rPr>
        <w:t>Bilinmiyor:</w:t>
      </w:r>
      <w:r w:rsidR="008C161F" w:rsidRPr="00F36418">
        <w:rPr>
          <w:rFonts w:ascii="Times New Roman" w:hAnsi="Times New Roman"/>
          <w:sz w:val="24"/>
        </w:rPr>
        <w:t xml:space="preserve"> </w:t>
      </w:r>
      <w:r w:rsidR="00391B52" w:rsidRPr="00F36418">
        <w:rPr>
          <w:rFonts w:ascii="Times New Roman" w:hAnsi="Times New Roman"/>
          <w:sz w:val="24"/>
        </w:rPr>
        <w:t xml:space="preserve">BACTRİM’in i.v </w:t>
      </w:r>
      <w:r w:rsidR="00EA76D3" w:rsidRPr="00F36418">
        <w:rPr>
          <w:rFonts w:ascii="Times New Roman" w:hAnsi="Times New Roman"/>
          <w:sz w:val="24"/>
        </w:rPr>
        <w:t>infüzyon</w:t>
      </w:r>
      <w:r w:rsidR="00391B52" w:rsidRPr="00F36418">
        <w:rPr>
          <w:rFonts w:ascii="Times New Roman" w:hAnsi="Times New Roman"/>
          <w:sz w:val="24"/>
        </w:rPr>
        <w:t xml:space="preserve">u bazen hafif ve orta derecede venöz ağrı ve flebit gibi </w:t>
      </w:r>
      <w:proofErr w:type="gramStart"/>
      <w:r w:rsidR="00391B52" w:rsidRPr="00F36418">
        <w:rPr>
          <w:rFonts w:ascii="Times New Roman" w:hAnsi="Times New Roman"/>
          <w:sz w:val="24"/>
        </w:rPr>
        <w:t>lokal</w:t>
      </w:r>
      <w:proofErr w:type="gramEnd"/>
      <w:r w:rsidR="00391B52" w:rsidRPr="00F36418">
        <w:rPr>
          <w:rFonts w:ascii="Times New Roman" w:hAnsi="Times New Roman"/>
          <w:sz w:val="24"/>
        </w:rPr>
        <w:t xml:space="preserve"> yan etkilere yol açmıştır.</w:t>
      </w:r>
    </w:p>
    <w:p w:rsidR="002F6A64" w:rsidRDefault="002F6A64" w:rsidP="002F6A64">
      <w:pPr>
        <w:tabs>
          <w:tab w:val="left" w:pos="0"/>
        </w:tabs>
        <w:spacing w:line="276" w:lineRule="auto"/>
        <w:jc w:val="both"/>
        <w:rPr>
          <w:b/>
        </w:rPr>
      </w:pPr>
    </w:p>
    <w:p w:rsidR="002F6A64" w:rsidRPr="002F6A64" w:rsidRDefault="002F6A64" w:rsidP="002F6A64">
      <w:pPr>
        <w:tabs>
          <w:tab w:val="left" w:pos="0"/>
        </w:tabs>
        <w:spacing w:line="276" w:lineRule="auto"/>
        <w:jc w:val="both"/>
        <w:rPr>
          <w:u w:val="single"/>
        </w:rPr>
      </w:pPr>
      <w:r w:rsidRPr="002F6A64">
        <w:rPr>
          <w:u w:val="single"/>
        </w:rPr>
        <w:t xml:space="preserve">Şüpheli </w:t>
      </w:r>
      <w:proofErr w:type="spellStart"/>
      <w:r w:rsidRPr="002F6A64">
        <w:rPr>
          <w:u w:val="single"/>
        </w:rPr>
        <w:t>advers</w:t>
      </w:r>
      <w:proofErr w:type="spellEnd"/>
      <w:r w:rsidRPr="002F6A64">
        <w:rPr>
          <w:u w:val="single"/>
        </w:rPr>
        <w:t xml:space="preserve"> reaksiyonların raporlanması</w:t>
      </w:r>
    </w:p>
    <w:p w:rsidR="002F6A64" w:rsidRPr="002F6A64" w:rsidRDefault="002F6A64" w:rsidP="002F6A64">
      <w:pPr>
        <w:tabs>
          <w:tab w:val="left" w:pos="0"/>
        </w:tabs>
        <w:spacing w:line="276" w:lineRule="auto"/>
        <w:jc w:val="both"/>
      </w:pPr>
      <w:r w:rsidRPr="002F6A64">
        <w:t xml:space="preserve">Ruhsatlandırma sonrası şüpheli ilaç </w:t>
      </w:r>
      <w:proofErr w:type="spellStart"/>
      <w:r w:rsidRPr="002F6A64">
        <w:t>advers</w:t>
      </w:r>
      <w:proofErr w:type="spellEnd"/>
      <w:r w:rsidRPr="002F6A64">
        <w:t xml:space="preserve"> reaksiyonlarının raporlanması büyük önem taşımaktadır. Raporlama yapılması, ilacın yarar/risk dengesinin sürekli olarak izlenmesine olanak sağlar. Sağlık mesleği mensuplarının herhangi bir şüpheli </w:t>
      </w:r>
      <w:proofErr w:type="spellStart"/>
      <w:r w:rsidRPr="002F6A64">
        <w:t>advers</w:t>
      </w:r>
      <w:proofErr w:type="spellEnd"/>
      <w:r w:rsidRPr="002F6A64">
        <w:t xml:space="preserve"> reaksiyonu Türkiye </w:t>
      </w:r>
      <w:proofErr w:type="spellStart"/>
      <w:r w:rsidRPr="002F6A64">
        <w:t>Farmakovijilans</w:t>
      </w:r>
      <w:proofErr w:type="spellEnd"/>
      <w:r w:rsidRPr="002F6A64">
        <w:t xml:space="preserve"> Merkezi (TÜFAM)'ne bildirmeleri gerekmektedir. (www.</w:t>
      </w:r>
      <w:proofErr w:type="spellStart"/>
      <w:r w:rsidRPr="002F6A64">
        <w:t>titck</w:t>
      </w:r>
      <w:proofErr w:type="spellEnd"/>
      <w:r w:rsidRPr="002F6A64">
        <w:t xml:space="preserve">.gov.tr;          e-posta: </w:t>
      </w:r>
      <w:proofErr w:type="spellStart"/>
      <w:r w:rsidRPr="002F6A64">
        <w:t>tufam</w:t>
      </w:r>
      <w:proofErr w:type="spellEnd"/>
      <w:r w:rsidRPr="002F6A64">
        <w:t>@</w:t>
      </w:r>
      <w:proofErr w:type="spellStart"/>
      <w:r w:rsidRPr="002F6A64">
        <w:t>titck</w:t>
      </w:r>
      <w:proofErr w:type="spellEnd"/>
      <w:r w:rsidRPr="002F6A64">
        <w:t>.gov.tr; tel: 0 800 314 00 08; faks: 0 312 218 35 99)</w:t>
      </w:r>
    </w:p>
    <w:p w:rsidR="00DC46F2" w:rsidRPr="00F36418" w:rsidRDefault="00DC46F2" w:rsidP="009A1B75">
      <w:pPr>
        <w:tabs>
          <w:tab w:val="left" w:pos="0"/>
        </w:tabs>
        <w:spacing w:line="276" w:lineRule="auto"/>
        <w:jc w:val="both"/>
        <w:rPr>
          <w:b/>
        </w:rPr>
      </w:pPr>
    </w:p>
    <w:p w:rsidR="008A1E76" w:rsidRPr="00F36418" w:rsidRDefault="008A1E76" w:rsidP="009A1B75">
      <w:pPr>
        <w:tabs>
          <w:tab w:val="left" w:pos="0"/>
        </w:tabs>
        <w:spacing w:line="276" w:lineRule="auto"/>
        <w:jc w:val="both"/>
        <w:rPr>
          <w:b/>
        </w:rPr>
      </w:pPr>
      <w:r w:rsidRPr="00F36418">
        <w:rPr>
          <w:b/>
        </w:rPr>
        <w:t xml:space="preserve">4.9. Doz aşımı ve </w:t>
      </w:r>
      <w:r w:rsidR="00DC46F2" w:rsidRPr="00F36418">
        <w:rPr>
          <w:b/>
        </w:rPr>
        <w:t>t</w:t>
      </w:r>
      <w:r w:rsidRPr="00F36418">
        <w:rPr>
          <w:b/>
        </w:rPr>
        <w:t>edavisi</w:t>
      </w:r>
    </w:p>
    <w:p w:rsidR="00DC46F2" w:rsidRPr="00F36418" w:rsidRDefault="00DC46F2"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Semptomlar:  </w:t>
      </w:r>
      <w:r w:rsidR="00180DB0" w:rsidRPr="00F36418">
        <w:rPr>
          <w:rFonts w:ascii="Times New Roman" w:hAnsi="Times New Roman"/>
          <w:sz w:val="24"/>
        </w:rPr>
        <w:t>Akut doz</w:t>
      </w:r>
      <w:r w:rsidRPr="00F36418">
        <w:rPr>
          <w:rFonts w:ascii="Times New Roman" w:hAnsi="Times New Roman"/>
          <w:sz w:val="24"/>
        </w:rPr>
        <w:t xml:space="preserve"> aşımında bulantı, kusma, diyare, baş ağrısı, baş dönmesi, mental ve </w:t>
      </w:r>
      <w:r w:rsidR="00180DB0" w:rsidRPr="00F36418">
        <w:rPr>
          <w:rFonts w:ascii="Times New Roman" w:hAnsi="Times New Roman"/>
          <w:sz w:val="24"/>
        </w:rPr>
        <w:t>görsel bozukluklar</w:t>
      </w:r>
      <w:r w:rsidRPr="00F36418">
        <w:rPr>
          <w:rFonts w:ascii="Times New Roman" w:hAnsi="Times New Roman"/>
          <w:sz w:val="24"/>
        </w:rPr>
        <w:t xml:space="preserve"> ve ciddi durumlarda kristalüri, hematüri ve anüri görülebilir. Kronik yüksek doz kullanımında, trombositopeni veya lökopeni olarak kemik iliği depresyonu ve folinik asit yetersizliğinden dolayı diğer kan diskrazileri oluşabilir. </w:t>
      </w:r>
    </w:p>
    <w:p w:rsidR="00180DB0" w:rsidRPr="00F36418" w:rsidRDefault="00180DB0" w:rsidP="009A1B75">
      <w:pPr>
        <w:pStyle w:val="ListeParagraf1"/>
        <w:spacing w:after="0"/>
        <w:ind w:left="0"/>
        <w:jc w:val="both"/>
        <w:rPr>
          <w:rFonts w:ascii="Times New Roman" w:hAnsi="Times New Roman"/>
          <w:sz w:val="24"/>
        </w:rPr>
      </w:pPr>
    </w:p>
    <w:p w:rsidR="00DC46F2" w:rsidRPr="00F36418" w:rsidRDefault="00DC46F2"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Tedavi: Semptomlara bağlı olarak, aşağıda belirtilen tedavi önlemleri uygulanabilir: diürez yoluyla böbreklerden atılımın başlatılması (idrar alkalinizasyonu ile SMZ </w:t>
      </w:r>
      <w:proofErr w:type="gramStart"/>
      <w:r w:rsidRPr="00F36418">
        <w:rPr>
          <w:rFonts w:ascii="Times New Roman" w:hAnsi="Times New Roman"/>
          <w:sz w:val="24"/>
        </w:rPr>
        <w:t>eliminasyonu</w:t>
      </w:r>
      <w:proofErr w:type="gramEnd"/>
      <w:r w:rsidRPr="00F36418">
        <w:rPr>
          <w:rFonts w:ascii="Times New Roman" w:hAnsi="Times New Roman"/>
          <w:sz w:val="24"/>
        </w:rPr>
        <w:t xml:space="preserve"> artar), hemodiyaliz, (periton diyalizi etkili değildir), kan tablosunu ve elektrolitleri izlemek. Eğer belirgin kan diskrazisi veya sarılık oluşursa, bu </w:t>
      </w:r>
      <w:r w:rsidR="00180DB0" w:rsidRPr="00F36418">
        <w:rPr>
          <w:rFonts w:ascii="Times New Roman" w:hAnsi="Times New Roman"/>
          <w:sz w:val="24"/>
        </w:rPr>
        <w:t>tür komplikasyonlar</w:t>
      </w:r>
      <w:r w:rsidRPr="00F36418">
        <w:rPr>
          <w:rFonts w:ascii="Times New Roman" w:hAnsi="Times New Roman"/>
          <w:sz w:val="24"/>
        </w:rPr>
        <w:t xml:space="preserve"> </w:t>
      </w:r>
      <w:r w:rsidR="00180DB0" w:rsidRPr="00F36418">
        <w:rPr>
          <w:rFonts w:ascii="Times New Roman" w:hAnsi="Times New Roman"/>
          <w:sz w:val="24"/>
        </w:rPr>
        <w:t xml:space="preserve">için </w:t>
      </w:r>
      <w:proofErr w:type="gramStart"/>
      <w:r w:rsidR="00180DB0" w:rsidRPr="00F36418">
        <w:rPr>
          <w:rFonts w:ascii="Times New Roman" w:hAnsi="Times New Roman"/>
          <w:sz w:val="24"/>
        </w:rPr>
        <w:t>spesifik</w:t>
      </w:r>
      <w:proofErr w:type="gramEnd"/>
      <w:r w:rsidR="00180DB0" w:rsidRPr="00F36418">
        <w:rPr>
          <w:rFonts w:ascii="Times New Roman" w:hAnsi="Times New Roman"/>
          <w:sz w:val="24"/>
        </w:rPr>
        <w:t xml:space="preserve"> tedavi uygulanmalıdır</w:t>
      </w:r>
      <w:r w:rsidRPr="00F36418">
        <w:rPr>
          <w:rFonts w:ascii="Times New Roman" w:hAnsi="Times New Roman"/>
          <w:sz w:val="24"/>
        </w:rPr>
        <w:t xml:space="preserve">.  </w:t>
      </w:r>
      <w:r w:rsidR="00180DB0" w:rsidRPr="00F36418">
        <w:rPr>
          <w:rFonts w:ascii="Times New Roman" w:hAnsi="Times New Roman"/>
          <w:sz w:val="24"/>
        </w:rPr>
        <w:t>Kalsiyum folinat</w:t>
      </w:r>
      <w:r w:rsidRPr="00F36418">
        <w:rPr>
          <w:rFonts w:ascii="Times New Roman" w:hAnsi="Times New Roman"/>
          <w:sz w:val="24"/>
        </w:rPr>
        <w:t xml:space="preserve">,  </w:t>
      </w:r>
      <w:r w:rsidR="00180DB0" w:rsidRPr="00F36418">
        <w:rPr>
          <w:rFonts w:ascii="Times New Roman" w:hAnsi="Times New Roman"/>
          <w:sz w:val="24"/>
        </w:rPr>
        <w:t>intramüsküler olarak</w:t>
      </w:r>
      <w:r w:rsidRPr="00F36418">
        <w:rPr>
          <w:rFonts w:ascii="Times New Roman" w:hAnsi="Times New Roman"/>
          <w:sz w:val="24"/>
        </w:rPr>
        <w:t xml:space="preserve"> 3</w:t>
      </w:r>
      <w:r w:rsidRPr="00F36418">
        <w:rPr>
          <w:rFonts w:ascii="Times New Roman" w:hAnsi="Times New Roman"/>
          <w:sz w:val="24"/>
        </w:rPr>
        <w:noBreakHyphen/>
        <w:t>6 mg'lık dozlar halinde 5-7 gün, TMP'in hematopo</w:t>
      </w:r>
      <w:r w:rsidR="008C161F" w:rsidRPr="00F36418">
        <w:rPr>
          <w:rFonts w:ascii="Times New Roman" w:hAnsi="Times New Roman"/>
          <w:sz w:val="24"/>
        </w:rPr>
        <w:t>i</w:t>
      </w:r>
      <w:r w:rsidRPr="00F36418">
        <w:rPr>
          <w:rFonts w:ascii="Times New Roman" w:hAnsi="Times New Roman"/>
          <w:sz w:val="24"/>
        </w:rPr>
        <w:t>ez üzerindeki etkilerini önlemek için verilebilir.</w:t>
      </w:r>
    </w:p>
    <w:p w:rsidR="008A1E76" w:rsidRPr="00F36418" w:rsidRDefault="008A1E76" w:rsidP="009A1B75">
      <w:pPr>
        <w:pStyle w:val="ListeParagraf1"/>
        <w:spacing w:after="0"/>
        <w:ind w:left="0"/>
        <w:jc w:val="both"/>
        <w:rPr>
          <w:rFonts w:ascii="Times New Roman" w:hAnsi="Times New Roman"/>
          <w:sz w:val="24"/>
          <w:szCs w:val="24"/>
        </w:rPr>
      </w:pPr>
    </w:p>
    <w:p w:rsidR="008A1E76" w:rsidRPr="00F36418" w:rsidRDefault="008A1E76" w:rsidP="009A1B75">
      <w:pPr>
        <w:spacing w:line="276" w:lineRule="auto"/>
        <w:jc w:val="both"/>
        <w:rPr>
          <w:b/>
        </w:rPr>
      </w:pPr>
      <w:r w:rsidRPr="00F36418">
        <w:rPr>
          <w:b/>
        </w:rPr>
        <w:t>5. FARMAKOLOJİK ÖZELLİKLERİ</w:t>
      </w:r>
    </w:p>
    <w:p w:rsidR="008A1E76" w:rsidRPr="00F36418" w:rsidRDefault="008A1E76" w:rsidP="009A1B75">
      <w:pPr>
        <w:numPr>
          <w:ilvl w:val="1"/>
          <w:numId w:val="1"/>
        </w:numPr>
        <w:spacing w:line="276" w:lineRule="auto"/>
        <w:ind w:left="0" w:firstLine="0"/>
        <w:jc w:val="both"/>
        <w:rPr>
          <w:b/>
        </w:rPr>
      </w:pPr>
      <w:r w:rsidRPr="00F36418">
        <w:rPr>
          <w:b/>
        </w:rPr>
        <w:t>Farmakodinamik özellikler</w:t>
      </w:r>
    </w:p>
    <w:p w:rsidR="009A1B75" w:rsidRPr="00F36418" w:rsidRDefault="008A1E76" w:rsidP="009A1B75">
      <w:pPr>
        <w:spacing w:line="276" w:lineRule="auto"/>
        <w:jc w:val="both"/>
      </w:pPr>
      <w:r w:rsidRPr="00F36418">
        <w:rPr>
          <w:b/>
        </w:rPr>
        <w:t xml:space="preserve">Farmakoterapötik grup: </w:t>
      </w:r>
      <w:r w:rsidR="009A1B75" w:rsidRPr="00F36418">
        <w:t xml:space="preserve">Sülfonamidler ve trimetoprim </w:t>
      </w:r>
      <w:proofErr w:type="gramStart"/>
      <w:r w:rsidR="009A1B75" w:rsidRPr="00F36418">
        <w:t>kombinasyonları</w:t>
      </w:r>
      <w:proofErr w:type="gramEnd"/>
      <w:r w:rsidR="009A1B75" w:rsidRPr="00F36418">
        <w:t xml:space="preserve"> (türevler dâhil olmak üzere)</w:t>
      </w:r>
    </w:p>
    <w:p w:rsidR="008A1E76" w:rsidRPr="00F36418" w:rsidRDefault="008A1E76" w:rsidP="009A1B75">
      <w:pPr>
        <w:spacing w:line="276" w:lineRule="auto"/>
        <w:jc w:val="both"/>
      </w:pPr>
      <w:r w:rsidRPr="00F36418">
        <w:rPr>
          <w:b/>
        </w:rPr>
        <w:t xml:space="preserve">ATC kodu: </w:t>
      </w:r>
      <w:r w:rsidRPr="00F36418">
        <w:t xml:space="preserve">J01EE01  </w:t>
      </w:r>
    </w:p>
    <w:p w:rsidR="009A1B75" w:rsidRPr="00F36418" w:rsidRDefault="009A1B75" w:rsidP="009A1B75">
      <w:pPr>
        <w:spacing w:line="276" w:lineRule="auto"/>
        <w:jc w:val="both"/>
      </w:pPr>
    </w:p>
    <w:p w:rsidR="009A1B75" w:rsidRPr="00F36418" w:rsidRDefault="009A1B75" w:rsidP="009A1B75">
      <w:pPr>
        <w:pStyle w:val="ListeParagraf1"/>
        <w:spacing w:after="0"/>
        <w:ind w:left="0"/>
        <w:jc w:val="both"/>
        <w:rPr>
          <w:rFonts w:ascii="Times New Roman" w:hAnsi="Times New Roman"/>
          <w:sz w:val="24"/>
          <w:u w:val="single"/>
        </w:rPr>
      </w:pPr>
      <w:r w:rsidRPr="00F36418">
        <w:rPr>
          <w:rFonts w:ascii="Times New Roman" w:hAnsi="Times New Roman"/>
          <w:sz w:val="24"/>
          <w:u w:val="single"/>
        </w:rPr>
        <w:t>Etki mekanizması:</w:t>
      </w:r>
    </w:p>
    <w:p w:rsidR="009A1B75" w:rsidRPr="00F36418" w:rsidRDefault="009A1B75"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BACTRİM, iki aktif maddeden (sülfametoksazol ve trimetoprim) oluşan antibakteriyel bir ilaçtır. Sülfametoksazol, dihidropteroat sentetaz enziminin kompetetif bir inhibitörüdür. Sülfametoksazol, dihidrofolat sentezinde para-aminobenzoik asidin (PABA) bakteriyel hücre </w:t>
      </w:r>
      <w:r w:rsidRPr="00F36418">
        <w:rPr>
          <w:rFonts w:ascii="Times New Roman" w:hAnsi="Times New Roman"/>
          <w:sz w:val="24"/>
        </w:rPr>
        <w:lastRenderedPageBreak/>
        <w:t xml:space="preserve">tarafından kullanılmasını kompetetif olarak inhibe eder ve sonuçta bakteriyostaz oluşur. Trimetroprim,  bakteriyel dihidrofolat redüktaza (DHFR)  bağlanır, bunu reversibl olarak inhibe eder ve tetrahidrofolat üretimini bloke eder. Koşullara bağlı olarak etki bakterisit olabilir. Bu şekilde, trimetoprim ve sülfametoksazol, pürinlerin biyosentezinde iki ardışık adımı bloke eder ve bu nedenle birçok bakteri için gerekli olan nükleik asitleri bloke eder. Bu etki, iki ajan arasında </w:t>
      </w:r>
      <w:r w:rsidRPr="00F36418">
        <w:rPr>
          <w:rFonts w:ascii="Times New Roman" w:hAnsi="Times New Roman"/>
          <w:i/>
          <w:sz w:val="24"/>
        </w:rPr>
        <w:t>in vitro</w:t>
      </w:r>
      <w:r w:rsidRPr="00F36418">
        <w:rPr>
          <w:rFonts w:ascii="Times New Roman" w:hAnsi="Times New Roman"/>
          <w:sz w:val="24"/>
        </w:rPr>
        <w:t xml:space="preserve"> olarak aktivitenin belirgin olarak potansiyalizasyonuna neden olur.</w:t>
      </w:r>
    </w:p>
    <w:p w:rsidR="009A1B75" w:rsidRPr="00F36418" w:rsidRDefault="009A1B75" w:rsidP="009A1B75">
      <w:pPr>
        <w:pStyle w:val="ListeParagraf1"/>
        <w:spacing w:after="0"/>
        <w:ind w:left="0"/>
        <w:jc w:val="both"/>
        <w:rPr>
          <w:rFonts w:ascii="Times New Roman" w:hAnsi="Times New Roman"/>
          <w:sz w:val="24"/>
          <w:u w:val="single"/>
        </w:rPr>
      </w:pPr>
      <w:r w:rsidRPr="00F36418">
        <w:rPr>
          <w:rFonts w:ascii="Times New Roman" w:hAnsi="Times New Roman"/>
          <w:sz w:val="24"/>
          <w:u w:val="single"/>
        </w:rPr>
        <w:t>Direnç mekanizmaları:</w:t>
      </w:r>
    </w:p>
    <w:p w:rsidR="009A1B75" w:rsidRPr="00F36418" w:rsidRDefault="009A1B75"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In vitro çalışmalar, bakteriyel direncin, sülfametoksazol ve trimetoprim </w:t>
      </w:r>
      <w:proofErr w:type="gramStart"/>
      <w:r w:rsidRPr="00F36418">
        <w:rPr>
          <w:rFonts w:ascii="Times New Roman" w:hAnsi="Times New Roman"/>
          <w:sz w:val="24"/>
        </w:rPr>
        <w:t>kombinasyonunda</w:t>
      </w:r>
      <w:proofErr w:type="gramEnd"/>
      <w:r w:rsidRPr="00F36418">
        <w:rPr>
          <w:rFonts w:ascii="Times New Roman" w:hAnsi="Times New Roman"/>
          <w:sz w:val="24"/>
        </w:rPr>
        <w:t xml:space="preserve">, daha yavaş gelişebileceğini göstermiştir (tek başına sülfametoksazol veya tek başına trimetoprim ile karşılaştırıldığında). </w:t>
      </w:r>
    </w:p>
    <w:p w:rsidR="009A1B75" w:rsidRPr="00F36418" w:rsidRDefault="009A1B75" w:rsidP="009A1B75">
      <w:pPr>
        <w:pStyle w:val="ListeParagraf1"/>
        <w:spacing w:after="0"/>
        <w:jc w:val="both"/>
        <w:rPr>
          <w:rFonts w:ascii="Times New Roman" w:hAnsi="Times New Roman"/>
          <w:sz w:val="24"/>
        </w:rPr>
      </w:pPr>
    </w:p>
    <w:p w:rsidR="009A1B75" w:rsidRPr="00F36418" w:rsidRDefault="009A1B75"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Sülfametoksazole karşı direnç, farklı mekanizmalarla oluşabilir. Bakteriyel mutasyonlar, PABA </w:t>
      </w:r>
      <w:proofErr w:type="gramStart"/>
      <w:r w:rsidRPr="00F36418">
        <w:rPr>
          <w:rFonts w:ascii="Times New Roman" w:hAnsi="Times New Roman"/>
          <w:sz w:val="24"/>
        </w:rPr>
        <w:t>konsantrasyonunda</w:t>
      </w:r>
      <w:proofErr w:type="gramEnd"/>
      <w:r w:rsidRPr="00F36418">
        <w:rPr>
          <w:rFonts w:ascii="Times New Roman" w:hAnsi="Times New Roman"/>
          <w:sz w:val="24"/>
        </w:rPr>
        <w:t xml:space="preserve"> artışa neden olur, böylece sülfametoksazol ile yarışır ve böylece dihidropteroat sentetaz enzimi üzerinde inhibitör etkide azalmaya neden olur. Diğer bir direnç mekanizması, plazmide bağımlıdır ve değişmiş bir dihidropteroat sentetaz enzimi üretilmesinden kaynaklanır. Bu değişmiş enzim, vahşi tip enzimle karşılaştırıldığında sülfametoksazole karşı afinitesi düşüktür.  </w:t>
      </w:r>
    </w:p>
    <w:p w:rsidR="009A1B75" w:rsidRPr="00F36418" w:rsidRDefault="009A1B75" w:rsidP="009A1B75">
      <w:pPr>
        <w:pStyle w:val="ListeParagraf1"/>
        <w:spacing w:after="0"/>
        <w:jc w:val="both"/>
        <w:rPr>
          <w:rFonts w:ascii="Times New Roman" w:hAnsi="Times New Roman"/>
          <w:sz w:val="24"/>
        </w:rPr>
      </w:pPr>
    </w:p>
    <w:p w:rsidR="009A1B75" w:rsidRPr="00F36418" w:rsidRDefault="009A1B75" w:rsidP="009A1B75">
      <w:pPr>
        <w:pStyle w:val="ListeParagraf1"/>
        <w:spacing w:after="0"/>
        <w:ind w:left="0"/>
        <w:jc w:val="both"/>
        <w:rPr>
          <w:rFonts w:ascii="Times New Roman" w:hAnsi="Times New Roman"/>
          <w:sz w:val="24"/>
        </w:rPr>
      </w:pPr>
      <w:r w:rsidRPr="00F36418">
        <w:rPr>
          <w:rFonts w:ascii="Times New Roman" w:hAnsi="Times New Roman"/>
          <w:sz w:val="24"/>
        </w:rPr>
        <w:t>Trimetoprime karşı direnç, plazmid bağımlı bir mutasyon vasıtası ile gerçekleşir. Bu mutasyon, vahşi tip enzimle karşılaştırıldığında trimetropime karşı daha düşük bir afiniteye sahip olan farklı bir dihidrofolat redüktaz (DHFR) enzimi üretilmesi ile sonuçlanır.</w:t>
      </w:r>
    </w:p>
    <w:p w:rsidR="009A1B75" w:rsidRPr="00F36418" w:rsidRDefault="009A1B75" w:rsidP="009A1B75">
      <w:pPr>
        <w:pStyle w:val="ListeParagraf1"/>
        <w:spacing w:after="0"/>
        <w:jc w:val="both"/>
        <w:rPr>
          <w:rFonts w:ascii="Times New Roman" w:hAnsi="Times New Roman"/>
          <w:sz w:val="24"/>
        </w:rPr>
      </w:pPr>
    </w:p>
    <w:p w:rsidR="009A1B75" w:rsidRPr="00F36418" w:rsidRDefault="009A1B75"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Trimetoprim, plazmoidal DHFR’e bağlanır, ama bakteriyel enzime bağlandığından daha az sıkı bir şekilde bağlanır. Memeli DHFR için afinitesi, ilgili bakteriyel enzim için afinitesine göre 50,000 kat daha azdır. </w:t>
      </w:r>
    </w:p>
    <w:p w:rsidR="009A1B75" w:rsidRPr="00F36418" w:rsidRDefault="009A1B75" w:rsidP="009A1B75">
      <w:pPr>
        <w:pStyle w:val="ListeParagraf1"/>
        <w:spacing w:after="0"/>
        <w:jc w:val="both"/>
        <w:rPr>
          <w:rFonts w:ascii="Times New Roman" w:hAnsi="Times New Roman"/>
          <w:sz w:val="24"/>
        </w:rPr>
      </w:pPr>
    </w:p>
    <w:p w:rsidR="009A1B75" w:rsidRPr="00F36418" w:rsidRDefault="009A1B75" w:rsidP="009A1B75">
      <w:pPr>
        <w:pStyle w:val="ListeParagraf1"/>
        <w:spacing w:after="0"/>
        <w:ind w:left="0"/>
        <w:jc w:val="both"/>
        <w:rPr>
          <w:rFonts w:ascii="Times New Roman" w:hAnsi="Times New Roman"/>
          <w:sz w:val="24"/>
        </w:rPr>
      </w:pPr>
      <w:r w:rsidRPr="00F36418">
        <w:rPr>
          <w:rFonts w:ascii="Times New Roman" w:hAnsi="Times New Roman"/>
          <w:sz w:val="24"/>
        </w:rPr>
        <w:t xml:space="preserve">Birçok sık görülen patojen bakteri, </w:t>
      </w:r>
      <w:r w:rsidRPr="00F36418">
        <w:rPr>
          <w:rFonts w:ascii="Times New Roman" w:hAnsi="Times New Roman"/>
          <w:i/>
          <w:sz w:val="24"/>
        </w:rPr>
        <w:t>in vitro</w:t>
      </w:r>
      <w:r w:rsidRPr="00F36418">
        <w:rPr>
          <w:rFonts w:ascii="Times New Roman" w:hAnsi="Times New Roman"/>
          <w:sz w:val="24"/>
        </w:rPr>
        <w:t xml:space="preserve"> olarak trimetoprim ve sülfametoksazole karşı duyarlıdır (önerilen dozlar uygulandıktan sonra kan, doku sıvıları ve idrarda ulaşılan </w:t>
      </w:r>
      <w:proofErr w:type="gramStart"/>
      <w:r w:rsidRPr="00F36418">
        <w:rPr>
          <w:rFonts w:ascii="Times New Roman" w:hAnsi="Times New Roman"/>
          <w:sz w:val="24"/>
        </w:rPr>
        <w:t>konsantrasyonların</w:t>
      </w:r>
      <w:proofErr w:type="gramEnd"/>
      <w:r w:rsidRPr="00F36418">
        <w:rPr>
          <w:rFonts w:ascii="Times New Roman" w:hAnsi="Times New Roman"/>
          <w:sz w:val="24"/>
        </w:rPr>
        <w:t xml:space="preserve"> çok altındaki konsantrasyonlarda). Ancak, diğer antibiyotiklerde olduğu gibi </w:t>
      </w:r>
      <w:r w:rsidRPr="00F36418">
        <w:rPr>
          <w:rFonts w:ascii="Times New Roman" w:hAnsi="Times New Roman"/>
          <w:i/>
          <w:sz w:val="24"/>
        </w:rPr>
        <w:t>in vitro</w:t>
      </w:r>
      <w:r w:rsidRPr="00F36418">
        <w:rPr>
          <w:rFonts w:ascii="Times New Roman" w:hAnsi="Times New Roman"/>
          <w:sz w:val="24"/>
        </w:rPr>
        <w:t xml:space="preserve"> aktivite, her zaman klinik etkililiğin ortaya konduğu anlamına gelmez ve </w:t>
      </w:r>
      <w:proofErr w:type="gramStart"/>
      <w:r w:rsidRPr="00F36418">
        <w:rPr>
          <w:rFonts w:ascii="Times New Roman" w:hAnsi="Times New Roman"/>
          <w:sz w:val="24"/>
        </w:rPr>
        <w:t>tatminkar</w:t>
      </w:r>
      <w:proofErr w:type="gramEnd"/>
      <w:r w:rsidRPr="00F36418">
        <w:rPr>
          <w:rFonts w:ascii="Times New Roman" w:hAnsi="Times New Roman"/>
          <w:sz w:val="24"/>
        </w:rPr>
        <w:t xml:space="preserve"> duyarlılık testinin, önerilen ve sadece inhibitör maddelerin (özellikle timidin ve timin)  bulunmadığı vasatlar ile gerçekleştirildiği belirtilmelidir.</w:t>
      </w:r>
    </w:p>
    <w:p w:rsidR="00180DB0" w:rsidRPr="00F36418" w:rsidRDefault="00180DB0" w:rsidP="009A1B75">
      <w:pPr>
        <w:pStyle w:val="ListeParagraf1"/>
        <w:spacing w:after="0"/>
        <w:ind w:left="0"/>
        <w:jc w:val="both"/>
        <w:rPr>
          <w:rFonts w:ascii="Times New Roman" w:hAnsi="Times New Roman"/>
          <w:sz w:val="24"/>
        </w:rPr>
      </w:pPr>
    </w:p>
    <w:p w:rsidR="009A1B75" w:rsidRPr="00F36418" w:rsidRDefault="009A1B75" w:rsidP="009A1B75">
      <w:pPr>
        <w:pStyle w:val="ListeParagraf1"/>
        <w:spacing w:after="0"/>
        <w:ind w:left="0"/>
        <w:jc w:val="both"/>
        <w:rPr>
          <w:rFonts w:ascii="Times New Roman" w:hAnsi="Times New Roman"/>
          <w:sz w:val="24"/>
          <w:u w:val="single"/>
        </w:rPr>
      </w:pPr>
      <w:r w:rsidRPr="00F36418">
        <w:rPr>
          <w:rFonts w:ascii="Times New Roman" w:hAnsi="Times New Roman"/>
          <w:sz w:val="24"/>
          <w:u w:val="single"/>
        </w:rPr>
        <w:t>Kırılma noktaları:</w:t>
      </w:r>
    </w:p>
    <w:p w:rsidR="009A1B75" w:rsidRPr="00F36418" w:rsidRDefault="009A1B75" w:rsidP="009A1B75">
      <w:pPr>
        <w:pStyle w:val="ListeParagraf1"/>
        <w:spacing w:after="0"/>
        <w:ind w:left="0"/>
        <w:jc w:val="both"/>
        <w:rPr>
          <w:rFonts w:ascii="Times New Roman" w:hAnsi="Times New Roman"/>
          <w:sz w:val="24"/>
          <w:u w:val="single"/>
        </w:rPr>
      </w:pPr>
      <w:r w:rsidRPr="00F36418">
        <w:rPr>
          <w:rFonts w:ascii="Times New Roman" w:hAnsi="Times New Roman"/>
          <w:sz w:val="24"/>
          <w:u w:val="single"/>
        </w:rPr>
        <w:t>EUCAST (Antifungal Duyarlılık Testi Avrupa Konfederasyonu)</w:t>
      </w:r>
    </w:p>
    <w:p w:rsidR="009A1B75" w:rsidRPr="00F36418" w:rsidRDefault="009A1B75" w:rsidP="009A1B75">
      <w:pPr>
        <w:spacing w:line="276" w:lineRule="auto"/>
        <w:jc w:val="both"/>
        <w:rPr>
          <w:lang w:eastAsia="tr-TR"/>
        </w:rPr>
      </w:pPr>
      <w:r w:rsidRPr="00F36418">
        <w:rPr>
          <w:i/>
          <w:iCs/>
          <w:lang w:eastAsia="tr-TR"/>
        </w:rPr>
        <w:t>Enterobacteriaceae</w:t>
      </w:r>
      <w:r w:rsidRPr="00F36418">
        <w:rPr>
          <w:i/>
          <w:lang w:eastAsia="tr-TR"/>
        </w:rPr>
        <w:t xml:space="preserve">: </w:t>
      </w:r>
      <w:r w:rsidRPr="00F36418">
        <w:rPr>
          <w:lang w:eastAsia="tr-TR"/>
        </w:rPr>
        <w:t xml:space="preserve">S </w:t>
      </w:r>
      <w:r w:rsidRPr="00F36418">
        <w:t>≤</w:t>
      </w:r>
      <w:r w:rsidRPr="00F36418">
        <w:rPr>
          <w:lang w:eastAsia="tr-TR"/>
        </w:rPr>
        <w:t xml:space="preserve"> 2 R&gt; 4 </w:t>
      </w:r>
    </w:p>
    <w:p w:rsidR="009A1B75" w:rsidRPr="00F36418" w:rsidRDefault="009A1B75" w:rsidP="009A1B75">
      <w:pPr>
        <w:spacing w:line="276" w:lineRule="auto"/>
        <w:jc w:val="both"/>
        <w:rPr>
          <w:lang w:eastAsia="tr-TR"/>
        </w:rPr>
      </w:pPr>
      <w:r w:rsidRPr="00F36418">
        <w:rPr>
          <w:i/>
          <w:iCs/>
          <w:lang w:eastAsia="tr-TR"/>
        </w:rPr>
        <w:t>S. maltophilia</w:t>
      </w:r>
      <w:r w:rsidRPr="00F36418">
        <w:rPr>
          <w:i/>
          <w:lang w:eastAsia="tr-TR"/>
        </w:rPr>
        <w:t>:</w:t>
      </w:r>
      <w:r w:rsidRPr="00F36418">
        <w:rPr>
          <w:lang w:eastAsia="tr-TR"/>
        </w:rPr>
        <w:t xml:space="preserve"> S </w:t>
      </w:r>
      <w:r w:rsidRPr="00F36418">
        <w:t>≤</w:t>
      </w:r>
      <w:r w:rsidRPr="00F36418">
        <w:rPr>
          <w:lang w:eastAsia="tr-TR"/>
        </w:rPr>
        <w:t xml:space="preserve"> 4 R&gt; 4 </w:t>
      </w:r>
    </w:p>
    <w:p w:rsidR="009A1B75" w:rsidRPr="00F36418" w:rsidRDefault="009A1B75" w:rsidP="009A1B75">
      <w:pPr>
        <w:spacing w:line="276" w:lineRule="auto"/>
        <w:jc w:val="both"/>
        <w:rPr>
          <w:lang w:eastAsia="tr-TR"/>
        </w:rPr>
      </w:pPr>
      <w:r w:rsidRPr="00F36418">
        <w:rPr>
          <w:i/>
          <w:iCs/>
          <w:lang w:eastAsia="tr-TR"/>
        </w:rPr>
        <w:t>Acinetobacter</w:t>
      </w:r>
      <w:r w:rsidRPr="00F36418">
        <w:rPr>
          <w:i/>
          <w:lang w:eastAsia="tr-TR"/>
        </w:rPr>
        <w:t>:</w:t>
      </w:r>
      <w:r w:rsidRPr="00F36418">
        <w:rPr>
          <w:lang w:eastAsia="tr-TR"/>
        </w:rPr>
        <w:t xml:space="preserve"> S </w:t>
      </w:r>
      <w:r w:rsidRPr="00F36418">
        <w:t>≤</w:t>
      </w:r>
      <w:r w:rsidRPr="00F36418">
        <w:rPr>
          <w:lang w:eastAsia="tr-TR"/>
        </w:rPr>
        <w:t xml:space="preserve"> 2 R&gt; 4 </w:t>
      </w:r>
    </w:p>
    <w:p w:rsidR="009A1B75" w:rsidRPr="00F36418" w:rsidRDefault="009A1B75" w:rsidP="009A1B75">
      <w:pPr>
        <w:spacing w:line="276" w:lineRule="auto"/>
        <w:jc w:val="both"/>
        <w:rPr>
          <w:lang w:eastAsia="tr-TR"/>
        </w:rPr>
      </w:pPr>
      <w:r w:rsidRPr="00F36418">
        <w:rPr>
          <w:i/>
          <w:iCs/>
          <w:lang w:eastAsia="tr-TR"/>
        </w:rPr>
        <w:t>Staphylococcus</w:t>
      </w:r>
      <w:r w:rsidRPr="00F36418">
        <w:rPr>
          <w:i/>
          <w:lang w:eastAsia="tr-TR"/>
        </w:rPr>
        <w:t>:</w:t>
      </w:r>
      <w:r w:rsidRPr="00F36418">
        <w:rPr>
          <w:lang w:eastAsia="tr-TR"/>
        </w:rPr>
        <w:t xml:space="preserve"> S </w:t>
      </w:r>
      <w:r w:rsidRPr="00F36418">
        <w:t>≤</w:t>
      </w:r>
      <w:r w:rsidRPr="00F36418">
        <w:rPr>
          <w:lang w:eastAsia="tr-TR"/>
        </w:rPr>
        <w:t xml:space="preserve"> 2 R&gt; 4 </w:t>
      </w:r>
    </w:p>
    <w:p w:rsidR="009A1B75" w:rsidRPr="00F36418" w:rsidRDefault="009A1B75" w:rsidP="009A1B75">
      <w:pPr>
        <w:spacing w:line="276" w:lineRule="auto"/>
        <w:jc w:val="both"/>
        <w:rPr>
          <w:lang w:eastAsia="tr-TR"/>
        </w:rPr>
      </w:pPr>
      <w:r w:rsidRPr="00F36418">
        <w:rPr>
          <w:i/>
          <w:iCs/>
          <w:lang w:eastAsia="tr-TR"/>
        </w:rPr>
        <w:t>Enterococcus</w:t>
      </w:r>
      <w:r w:rsidRPr="00F36418">
        <w:rPr>
          <w:i/>
          <w:lang w:eastAsia="tr-TR"/>
        </w:rPr>
        <w:t>:</w:t>
      </w:r>
      <w:r w:rsidRPr="00F36418">
        <w:rPr>
          <w:lang w:eastAsia="tr-TR"/>
        </w:rPr>
        <w:t xml:space="preserve"> S </w:t>
      </w:r>
      <w:r w:rsidRPr="00F36418">
        <w:t>≤</w:t>
      </w:r>
      <w:r w:rsidRPr="00F36418">
        <w:rPr>
          <w:lang w:eastAsia="tr-TR"/>
        </w:rPr>
        <w:t xml:space="preserve"> 0.032 R&gt; 1 </w:t>
      </w:r>
    </w:p>
    <w:p w:rsidR="009A1B75" w:rsidRPr="00F36418" w:rsidRDefault="009A1B75" w:rsidP="009A1B75">
      <w:pPr>
        <w:spacing w:line="276" w:lineRule="auto"/>
        <w:jc w:val="both"/>
        <w:rPr>
          <w:lang w:eastAsia="tr-TR"/>
        </w:rPr>
      </w:pPr>
      <w:r w:rsidRPr="00F36418">
        <w:rPr>
          <w:i/>
          <w:iCs/>
          <w:lang w:eastAsia="tr-TR"/>
        </w:rPr>
        <w:t>Streptococcus ABCG</w:t>
      </w:r>
      <w:r w:rsidRPr="00F36418">
        <w:rPr>
          <w:lang w:eastAsia="tr-TR"/>
        </w:rPr>
        <w:t xml:space="preserve">: S </w:t>
      </w:r>
      <w:r w:rsidRPr="00F36418">
        <w:t>≤</w:t>
      </w:r>
      <w:r w:rsidRPr="00F36418">
        <w:rPr>
          <w:lang w:eastAsia="tr-TR"/>
        </w:rPr>
        <w:t xml:space="preserve"> 1 R&gt; 2 </w:t>
      </w:r>
    </w:p>
    <w:p w:rsidR="009A1B75" w:rsidRPr="00F36418" w:rsidRDefault="009A1B75" w:rsidP="009A1B75">
      <w:pPr>
        <w:spacing w:line="276" w:lineRule="auto"/>
        <w:jc w:val="both"/>
        <w:rPr>
          <w:lang w:eastAsia="tr-TR"/>
        </w:rPr>
      </w:pPr>
      <w:r w:rsidRPr="00F36418">
        <w:rPr>
          <w:i/>
          <w:iCs/>
          <w:lang w:eastAsia="tr-TR"/>
        </w:rPr>
        <w:t>Streptococcus pneumoniae</w:t>
      </w:r>
      <w:r w:rsidRPr="00F36418">
        <w:rPr>
          <w:i/>
          <w:lang w:eastAsia="tr-TR"/>
        </w:rPr>
        <w:t>:</w:t>
      </w:r>
      <w:r w:rsidRPr="00F36418">
        <w:rPr>
          <w:lang w:eastAsia="tr-TR"/>
        </w:rPr>
        <w:t xml:space="preserve"> S </w:t>
      </w:r>
      <w:r w:rsidRPr="00F36418">
        <w:t>≤</w:t>
      </w:r>
      <w:r w:rsidRPr="00F36418">
        <w:rPr>
          <w:lang w:eastAsia="tr-TR"/>
        </w:rPr>
        <w:t xml:space="preserve"> 1 R&gt; 2 </w:t>
      </w:r>
    </w:p>
    <w:p w:rsidR="009A1B75" w:rsidRPr="00F36418" w:rsidRDefault="009A1B75" w:rsidP="009A1B75">
      <w:pPr>
        <w:spacing w:line="276" w:lineRule="auto"/>
        <w:jc w:val="both"/>
        <w:rPr>
          <w:lang w:eastAsia="tr-TR"/>
        </w:rPr>
      </w:pPr>
      <w:r w:rsidRPr="00F36418">
        <w:rPr>
          <w:i/>
          <w:iCs/>
          <w:lang w:eastAsia="tr-TR"/>
        </w:rPr>
        <w:t>Hemophilus influenza</w:t>
      </w:r>
      <w:r w:rsidRPr="00F36418">
        <w:rPr>
          <w:i/>
          <w:lang w:eastAsia="tr-TR"/>
        </w:rPr>
        <w:t>:</w:t>
      </w:r>
      <w:r w:rsidRPr="00F36418">
        <w:rPr>
          <w:lang w:eastAsia="tr-TR"/>
        </w:rPr>
        <w:t xml:space="preserve"> S </w:t>
      </w:r>
      <w:r w:rsidRPr="00F36418">
        <w:t>≤</w:t>
      </w:r>
      <w:r w:rsidRPr="00F36418">
        <w:rPr>
          <w:lang w:eastAsia="tr-TR"/>
        </w:rPr>
        <w:t xml:space="preserve"> </w:t>
      </w:r>
      <w:proofErr w:type="gramStart"/>
      <w:r w:rsidRPr="00F36418">
        <w:rPr>
          <w:lang w:eastAsia="tr-TR"/>
        </w:rPr>
        <w:t>0.5</w:t>
      </w:r>
      <w:proofErr w:type="gramEnd"/>
      <w:r w:rsidRPr="00F36418">
        <w:rPr>
          <w:lang w:eastAsia="tr-TR"/>
        </w:rPr>
        <w:t xml:space="preserve"> R&gt; 1 </w:t>
      </w:r>
    </w:p>
    <w:p w:rsidR="009A1B75" w:rsidRPr="00F36418" w:rsidRDefault="009A1B75" w:rsidP="009A1B75">
      <w:pPr>
        <w:spacing w:line="276" w:lineRule="auto"/>
        <w:jc w:val="both"/>
        <w:rPr>
          <w:lang w:eastAsia="tr-TR"/>
        </w:rPr>
      </w:pPr>
      <w:r w:rsidRPr="00F36418">
        <w:rPr>
          <w:i/>
          <w:iCs/>
          <w:lang w:eastAsia="tr-TR"/>
        </w:rPr>
        <w:lastRenderedPageBreak/>
        <w:t>Moraxella catarrhalis</w:t>
      </w:r>
      <w:r w:rsidRPr="00F36418">
        <w:rPr>
          <w:i/>
          <w:lang w:eastAsia="tr-TR"/>
        </w:rPr>
        <w:t>:</w:t>
      </w:r>
      <w:r w:rsidRPr="00F36418">
        <w:rPr>
          <w:lang w:eastAsia="tr-TR"/>
        </w:rPr>
        <w:t xml:space="preserve"> S </w:t>
      </w:r>
      <w:r w:rsidRPr="00F36418">
        <w:t>≤</w:t>
      </w:r>
      <w:r w:rsidRPr="00F36418">
        <w:rPr>
          <w:lang w:eastAsia="tr-TR"/>
        </w:rPr>
        <w:t xml:space="preserve"> </w:t>
      </w:r>
      <w:proofErr w:type="gramStart"/>
      <w:r w:rsidRPr="00F36418">
        <w:rPr>
          <w:lang w:eastAsia="tr-TR"/>
        </w:rPr>
        <w:t>0.5</w:t>
      </w:r>
      <w:proofErr w:type="gramEnd"/>
      <w:r w:rsidRPr="00F36418">
        <w:rPr>
          <w:lang w:eastAsia="tr-TR"/>
        </w:rPr>
        <w:t xml:space="preserve"> R&gt;1 </w:t>
      </w:r>
    </w:p>
    <w:p w:rsidR="009A1B75" w:rsidRPr="00F36418" w:rsidRDefault="009A1B75" w:rsidP="009A1B75">
      <w:pPr>
        <w:spacing w:line="276" w:lineRule="auto"/>
        <w:jc w:val="both"/>
        <w:rPr>
          <w:lang w:eastAsia="tr-TR"/>
        </w:rPr>
      </w:pPr>
      <w:r w:rsidRPr="00F36418">
        <w:rPr>
          <w:i/>
          <w:iCs/>
          <w:lang w:eastAsia="tr-TR"/>
        </w:rPr>
        <w:t>Psuedomonas aeruginosa ve diğer non-enterobacteriaceae</w:t>
      </w:r>
      <w:r w:rsidRPr="00F36418">
        <w:rPr>
          <w:i/>
          <w:lang w:eastAsia="tr-TR"/>
        </w:rPr>
        <w:t>:</w:t>
      </w:r>
      <w:r w:rsidRPr="00F36418">
        <w:rPr>
          <w:lang w:eastAsia="tr-TR"/>
        </w:rPr>
        <w:t xml:space="preserve"> S </w:t>
      </w:r>
      <w:r w:rsidRPr="00F36418">
        <w:t>≤</w:t>
      </w:r>
      <w:r w:rsidRPr="00F36418">
        <w:rPr>
          <w:lang w:eastAsia="tr-TR"/>
        </w:rPr>
        <w:t xml:space="preserve"> 2* R&gt; 4* </w:t>
      </w:r>
    </w:p>
    <w:p w:rsidR="009A1B75" w:rsidRPr="00F36418" w:rsidRDefault="009A1B75" w:rsidP="009A1B75">
      <w:pPr>
        <w:spacing w:line="276" w:lineRule="auto"/>
        <w:ind w:left="720"/>
        <w:jc w:val="both"/>
        <w:rPr>
          <w:lang w:eastAsia="tr-TR"/>
        </w:rPr>
      </w:pPr>
    </w:p>
    <w:p w:rsidR="009A1B75" w:rsidRPr="00F36418" w:rsidRDefault="009A1B75" w:rsidP="009A1B75">
      <w:pPr>
        <w:spacing w:line="276" w:lineRule="auto"/>
        <w:jc w:val="both"/>
        <w:rPr>
          <w:lang w:eastAsia="tr-TR"/>
        </w:rPr>
      </w:pPr>
      <w:r w:rsidRPr="00F36418">
        <w:rPr>
          <w:lang w:eastAsia="tr-TR"/>
        </w:rPr>
        <w:t>S= duyarlı, R= dirençli. * Bu organizmalar için henüz EUCAST kırılma noktaları bulunmadığı için bunlar CLSI kırılma noktalarıdır.</w:t>
      </w:r>
    </w:p>
    <w:p w:rsidR="009A1B75" w:rsidRPr="00F36418" w:rsidRDefault="009A1B75" w:rsidP="009A1B75">
      <w:pPr>
        <w:spacing w:line="276" w:lineRule="auto"/>
        <w:jc w:val="both"/>
        <w:rPr>
          <w:lang w:eastAsia="tr-TR"/>
        </w:rPr>
      </w:pPr>
    </w:p>
    <w:p w:rsidR="009A1B75" w:rsidRPr="00F36418" w:rsidRDefault="009A1B75" w:rsidP="009A1B75">
      <w:pPr>
        <w:spacing w:line="276" w:lineRule="auto"/>
        <w:jc w:val="both"/>
        <w:rPr>
          <w:lang w:eastAsia="tr-TR"/>
        </w:rPr>
      </w:pPr>
      <w:r w:rsidRPr="00F36418">
        <w:rPr>
          <w:lang w:eastAsia="tr-TR"/>
        </w:rPr>
        <w:t xml:space="preserve">Trimetoprim: sülfametoksazol </w:t>
      </w:r>
      <w:proofErr w:type="gramStart"/>
      <w:r w:rsidRPr="00F36418">
        <w:rPr>
          <w:lang w:eastAsia="tr-TR"/>
        </w:rPr>
        <w:t>1:19</w:t>
      </w:r>
      <w:proofErr w:type="gramEnd"/>
      <w:r w:rsidRPr="00F36418">
        <w:rPr>
          <w:lang w:eastAsia="tr-TR"/>
        </w:rPr>
        <w:t xml:space="preserve"> oranındadır. Kırılma noktaları trimetoprim </w:t>
      </w:r>
      <w:proofErr w:type="gramStart"/>
      <w:r w:rsidRPr="00F36418">
        <w:rPr>
          <w:lang w:eastAsia="tr-TR"/>
        </w:rPr>
        <w:t>konsantrasyonu</w:t>
      </w:r>
      <w:proofErr w:type="gramEnd"/>
      <w:r w:rsidRPr="00F36418">
        <w:rPr>
          <w:lang w:eastAsia="tr-TR"/>
        </w:rPr>
        <w:t xml:space="preserve"> olarak ifade edilmiştir.</w:t>
      </w:r>
    </w:p>
    <w:p w:rsidR="009A1B75" w:rsidRPr="00F36418" w:rsidRDefault="009A1B75" w:rsidP="009A1B75">
      <w:pPr>
        <w:spacing w:line="276" w:lineRule="auto"/>
        <w:jc w:val="both"/>
        <w:rPr>
          <w:lang w:eastAsia="tr-TR"/>
        </w:rPr>
      </w:pPr>
    </w:p>
    <w:p w:rsidR="009A1B75" w:rsidRPr="00F36418" w:rsidRDefault="009A1B75" w:rsidP="009A1B75">
      <w:pPr>
        <w:spacing w:line="276" w:lineRule="auto"/>
        <w:jc w:val="both"/>
        <w:rPr>
          <w:u w:val="single"/>
          <w:lang w:eastAsia="tr-TR"/>
        </w:rPr>
      </w:pPr>
      <w:proofErr w:type="spellStart"/>
      <w:r w:rsidRPr="00F36418">
        <w:rPr>
          <w:u w:val="single"/>
          <w:lang w:eastAsia="tr-TR"/>
        </w:rPr>
        <w:t>Antibakteriyel</w:t>
      </w:r>
      <w:proofErr w:type="spellEnd"/>
      <w:r w:rsidRPr="00F36418">
        <w:rPr>
          <w:u w:val="single"/>
          <w:lang w:eastAsia="tr-TR"/>
        </w:rPr>
        <w:t xml:space="preserve"> spektrum:</w:t>
      </w:r>
    </w:p>
    <w:p w:rsidR="009A1B75" w:rsidRPr="00F36418" w:rsidRDefault="009A1B75" w:rsidP="009A1B75">
      <w:pPr>
        <w:spacing w:line="276" w:lineRule="auto"/>
        <w:jc w:val="both"/>
        <w:rPr>
          <w:lang w:eastAsia="tr-TR"/>
        </w:rPr>
      </w:pPr>
      <w:r w:rsidRPr="00F36418">
        <w:rPr>
          <w:lang w:eastAsia="tr-TR"/>
        </w:rPr>
        <w:t xml:space="preserve">Direnç prevalansı coğrafi olarak farklılık gösterebilir ve belli türler için zamana göre farklılık gösterebilir. Dirençle ilgili yerel bilgilerin bilinmesi, özellikle ciddi </w:t>
      </w:r>
      <w:proofErr w:type="gramStart"/>
      <w:r w:rsidRPr="00F36418">
        <w:rPr>
          <w:lang w:eastAsia="tr-TR"/>
        </w:rPr>
        <w:t>enfeksiyonlar</w:t>
      </w:r>
      <w:proofErr w:type="gramEnd"/>
      <w:r w:rsidRPr="00F36418">
        <w:rPr>
          <w:lang w:eastAsia="tr-TR"/>
        </w:rPr>
        <w:t xml:space="preserve"> tedavi edilirken önemlidir. Direncin </w:t>
      </w:r>
      <w:proofErr w:type="gramStart"/>
      <w:r w:rsidRPr="00F36418">
        <w:rPr>
          <w:lang w:eastAsia="tr-TR"/>
        </w:rPr>
        <w:t>lokal</w:t>
      </w:r>
      <w:proofErr w:type="gramEnd"/>
      <w:r w:rsidRPr="00F36418">
        <w:rPr>
          <w:lang w:eastAsia="tr-TR"/>
        </w:rPr>
        <w:t xml:space="preserve"> prevalansının, en azından bazı enfeksiyon tiplerinde, ajanın kullanılmasının sorgulanabilir olduğuna işaret eden durumlarda, gerektiğinde uzman tavsiyesi alınmalıdır. Bu bilgiler,  mikroorganizmaların trimetoprim/sülfametoksazole duyarlı olup olmayacağı olasılığı ile ilgili olarak sadece tahmini bir kılavuz sağlar.</w:t>
      </w:r>
    </w:p>
    <w:p w:rsidR="009A1B75" w:rsidRPr="00F36418" w:rsidRDefault="009A1B75" w:rsidP="009A1B75">
      <w:pPr>
        <w:spacing w:line="276" w:lineRule="auto"/>
        <w:jc w:val="both"/>
        <w:rPr>
          <w:lang w:eastAsia="tr-TR"/>
        </w:rPr>
      </w:pPr>
      <w:r w:rsidRPr="00F36418">
        <w:rPr>
          <w:lang w:eastAsia="tr-TR"/>
        </w:rPr>
        <w:t>Bir dizi bakteriye karşı trimetoprim/sülfametoksazol duyarlılığı aşağıdaki tabloda gösterilmiştir:</w:t>
      </w:r>
    </w:p>
    <w:p w:rsidR="009A1B75" w:rsidRPr="00F36418" w:rsidRDefault="009A1B75" w:rsidP="009A1B75">
      <w:pPr>
        <w:spacing w:line="276" w:lineRule="auto"/>
        <w:jc w:val="both"/>
        <w:rPr>
          <w:lang w:eastAsia="tr-TR"/>
        </w:rPr>
      </w:pPr>
    </w:p>
    <w:p w:rsidR="006113B7" w:rsidRPr="00F36418" w:rsidRDefault="006113B7" w:rsidP="009A1B75">
      <w:pPr>
        <w:spacing w:line="276" w:lineRule="auto"/>
        <w:jc w:val="both"/>
        <w:rPr>
          <w:lang w:eastAsia="tr-TR"/>
        </w:rPr>
      </w:pPr>
    </w:p>
    <w:tbl>
      <w:tblPr>
        <w:tblW w:w="5000" w:type="pct"/>
        <w:tblCellSpacing w:w="15" w:type="dxa"/>
        <w:tblCellMar>
          <w:top w:w="15" w:type="dxa"/>
          <w:left w:w="15" w:type="dxa"/>
          <w:bottom w:w="15" w:type="dxa"/>
          <w:right w:w="15" w:type="dxa"/>
        </w:tblCellMar>
        <w:tblLook w:val="00A0"/>
      </w:tblPr>
      <w:tblGrid>
        <w:gridCol w:w="226"/>
        <w:gridCol w:w="8721"/>
        <w:gridCol w:w="226"/>
      </w:tblGrid>
      <w:tr w:rsidR="009A1B75" w:rsidRPr="00F36418" w:rsidTr="002E67EE">
        <w:trPr>
          <w:tblCellSpacing w:w="15" w:type="dxa"/>
        </w:trPr>
        <w:tc>
          <w:tcPr>
            <w:tcW w:w="100" w:type="pct"/>
            <w:tcMar>
              <w:top w:w="20" w:type="dxa"/>
              <w:left w:w="20" w:type="dxa"/>
              <w:bottom w:w="20" w:type="dxa"/>
              <w:right w:w="20" w:type="dxa"/>
            </w:tcMar>
            <w:vAlign w:val="center"/>
          </w:tcPr>
          <w:p w:rsidR="009A1B75" w:rsidRPr="00F36418" w:rsidRDefault="009A1B75" w:rsidP="002E67EE">
            <w:pPr>
              <w:spacing w:line="276" w:lineRule="auto"/>
              <w:jc w:val="both"/>
              <w:rPr>
                <w:lang w:eastAsia="tr-TR"/>
              </w:rPr>
            </w:pPr>
          </w:p>
        </w:tc>
        <w:tc>
          <w:tcPr>
            <w:tcW w:w="0" w:type="auto"/>
            <w:tcMar>
              <w:top w:w="20" w:type="dxa"/>
              <w:left w:w="20" w:type="dxa"/>
              <w:bottom w:w="20" w:type="dxa"/>
              <w:right w:w="20" w:type="dxa"/>
            </w:tcMar>
            <w:vAlign w:val="center"/>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635"/>
            </w:tblGrid>
            <w:tr w:rsidR="009A1B75" w:rsidRPr="00F36418" w:rsidTr="002E67EE">
              <w:trPr>
                <w:tblCellSpacing w:w="0" w:type="dxa"/>
              </w:trPr>
              <w:tc>
                <w:tcPr>
                  <w:tcW w:w="863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A1B75" w:rsidRPr="00F36418" w:rsidRDefault="009A1B75" w:rsidP="002E67EE">
                  <w:pPr>
                    <w:spacing w:line="276" w:lineRule="auto"/>
                    <w:jc w:val="both"/>
                    <w:rPr>
                      <w:lang w:eastAsia="tr-TR"/>
                    </w:rPr>
                  </w:pPr>
                  <w:r w:rsidRPr="00F36418">
                    <w:rPr>
                      <w:b/>
                      <w:bCs/>
                      <w:lang w:eastAsia="tr-TR"/>
                    </w:rPr>
                    <w:t>Genel olarak duyarlı olan türler</w:t>
                  </w:r>
                  <w:r w:rsidRPr="00F36418">
                    <w:rPr>
                      <w:bCs/>
                      <w:lang w:eastAsia="tr-TR"/>
                    </w:rPr>
                    <w:t>:</w:t>
                  </w:r>
                </w:p>
              </w:tc>
            </w:tr>
            <w:tr w:rsidR="009A1B75" w:rsidRPr="00F36418" w:rsidTr="002E67EE">
              <w:trPr>
                <w:tblCellSpacing w:w="0" w:type="dxa"/>
              </w:trPr>
              <w:tc>
                <w:tcPr>
                  <w:tcW w:w="863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A1B75" w:rsidRPr="00F36418" w:rsidRDefault="009A1B75" w:rsidP="002E67EE">
                  <w:pPr>
                    <w:spacing w:line="276" w:lineRule="auto"/>
                    <w:jc w:val="both"/>
                    <w:rPr>
                      <w:lang w:eastAsia="tr-TR"/>
                    </w:rPr>
                  </w:pPr>
                  <w:r w:rsidRPr="00F36418">
                    <w:rPr>
                      <w:b/>
                      <w:bCs/>
                      <w:lang w:eastAsia="tr-TR"/>
                    </w:rPr>
                    <w:t>Gram-pozitif aeroblar</w:t>
                  </w:r>
                  <w:r w:rsidRPr="00F36418">
                    <w:rPr>
                      <w:bCs/>
                      <w:lang w:eastAsia="tr-TR"/>
                    </w:rPr>
                    <w:t>:</w:t>
                  </w:r>
                </w:p>
                <w:p w:rsidR="009A1B75" w:rsidRPr="00F36418" w:rsidRDefault="009A1B75" w:rsidP="002E67EE">
                  <w:pPr>
                    <w:spacing w:line="276" w:lineRule="auto"/>
                    <w:jc w:val="both"/>
                    <w:rPr>
                      <w:i/>
                      <w:lang w:eastAsia="tr-TR"/>
                    </w:rPr>
                  </w:pPr>
                  <w:r w:rsidRPr="00F36418">
                    <w:rPr>
                      <w:i/>
                      <w:iCs/>
                      <w:lang w:eastAsia="tr-TR"/>
                    </w:rPr>
                    <w:t>Staphylococcus aureus</w:t>
                  </w:r>
                </w:p>
                <w:p w:rsidR="009A1B75" w:rsidRPr="00F36418" w:rsidRDefault="009A1B75" w:rsidP="002E67EE">
                  <w:pPr>
                    <w:spacing w:line="276" w:lineRule="auto"/>
                    <w:jc w:val="both"/>
                    <w:rPr>
                      <w:i/>
                      <w:lang w:eastAsia="tr-TR"/>
                    </w:rPr>
                  </w:pPr>
                  <w:r w:rsidRPr="00F36418">
                    <w:rPr>
                      <w:i/>
                      <w:iCs/>
                      <w:lang w:eastAsia="tr-TR"/>
                    </w:rPr>
                    <w:t>Staphylococcus saprophyticus</w:t>
                  </w:r>
                </w:p>
                <w:p w:rsidR="009A1B75" w:rsidRPr="00F36418" w:rsidRDefault="009A1B75" w:rsidP="002E67EE">
                  <w:pPr>
                    <w:spacing w:line="276" w:lineRule="auto"/>
                    <w:jc w:val="both"/>
                    <w:rPr>
                      <w:lang w:eastAsia="tr-TR"/>
                    </w:rPr>
                  </w:pPr>
                  <w:r w:rsidRPr="00F36418">
                    <w:rPr>
                      <w:i/>
                      <w:iCs/>
                      <w:lang w:eastAsia="tr-TR"/>
                    </w:rPr>
                    <w:t>Streptococcus pyogenes</w:t>
                  </w:r>
                  <w:r w:rsidRPr="00F36418">
                    <w:rPr>
                      <w:iCs/>
                      <w:lang w:eastAsia="tr-TR"/>
                    </w:rPr>
                    <w:t xml:space="preserve"> </w:t>
                  </w:r>
                </w:p>
              </w:tc>
            </w:tr>
            <w:tr w:rsidR="009A1B75" w:rsidRPr="00F36418" w:rsidTr="002E67EE">
              <w:trPr>
                <w:tblCellSpacing w:w="0" w:type="dxa"/>
              </w:trPr>
              <w:tc>
                <w:tcPr>
                  <w:tcW w:w="863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A1B75" w:rsidRPr="00F36418" w:rsidRDefault="009A1B75" w:rsidP="002E67EE">
                  <w:pPr>
                    <w:spacing w:line="276" w:lineRule="auto"/>
                    <w:jc w:val="both"/>
                    <w:rPr>
                      <w:lang w:eastAsia="tr-TR"/>
                    </w:rPr>
                  </w:pPr>
                  <w:r w:rsidRPr="00F36418">
                    <w:rPr>
                      <w:b/>
                      <w:bCs/>
                      <w:lang w:eastAsia="tr-TR"/>
                    </w:rPr>
                    <w:t>Gram-negatif aeroblar</w:t>
                  </w:r>
                  <w:r w:rsidRPr="00F36418">
                    <w:rPr>
                      <w:bCs/>
                      <w:lang w:eastAsia="tr-TR"/>
                    </w:rPr>
                    <w:t>:</w:t>
                  </w:r>
                </w:p>
                <w:p w:rsidR="009A1B75" w:rsidRPr="00F36418" w:rsidRDefault="009A1B75" w:rsidP="002E67EE">
                  <w:pPr>
                    <w:spacing w:line="276" w:lineRule="auto"/>
                    <w:jc w:val="both"/>
                    <w:rPr>
                      <w:i/>
                      <w:lang w:eastAsia="tr-TR"/>
                    </w:rPr>
                  </w:pPr>
                  <w:r w:rsidRPr="00F36418">
                    <w:rPr>
                      <w:i/>
                      <w:iCs/>
                      <w:lang w:eastAsia="tr-TR"/>
                    </w:rPr>
                    <w:t>Enterobacter cloacae</w:t>
                  </w:r>
                </w:p>
                <w:p w:rsidR="009A1B75" w:rsidRPr="00F36418" w:rsidRDefault="009A1B75" w:rsidP="002E67EE">
                  <w:pPr>
                    <w:spacing w:line="276" w:lineRule="auto"/>
                    <w:jc w:val="both"/>
                    <w:rPr>
                      <w:i/>
                      <w:lang w:eastAsia="tr-TR"/>
                    </w:rPr>
                  </w:pPr>
                  <w:r w:rsidRPr="00F36418">
                    <w:rPr>
                      <w:i/>
                      <w:iCs/>
                      <w:lang w:eastAsia="tr-TR"/>
                    </w:rPr>
                    <w:t>Haemophilus influenzae</w:t>
                  </w:r>
                </w:p>
                <w:p w:rsidR="009A1B75" w:rsidRPr="00F36418" w:rsidRDefault="009A1B75" w:rsidP="002E67EE">
                  <w:pPr>
                    <w:spacing w:line="276" w:lineRule="auto"/>
                    <w:jc w:val="both"/>
                    <w:rPr>
                      <w:i/>
                      <w:lang w:eastAsia="tr-TR"/>
                    </w:rPr>
                  </w:pPr>
                  <w:r w:rsidRPr="00F36418">
                    <w:rPr>
                      <w:i/>
                      <w:iCs/>
                      <w:lang w:eastAsia="tr-TR"/>
                    </w:rPr>
                    <w:t>Klebsiella oxytoca</w:t>
                  </w:r>
                </w:p>
                <w:p w:rsidR="009A1B75" w:rsidRPr="00F36418" w:rsidRDefault="009A1B75" w:rsidP="002E67EE">
                  <w:pPr>
                    <w:spacing w:line="276" w:lineRule="auto"/>
                    <w:jc w:val="both"/>
                    <w:rPr>
                      <w:i/>
                      <w:lang w:eastAsia="tr-TR"/>
                    </w:rPr>
                  </w:pPr>
                  <w:r w:rsidRPr="00F36418">
                    <w:rPr>
                      <w:i/>
                      <w:iCs/>
                      <w:lang w:eastAsia="tr-TR"/>
                    </w:rPr>
                    <w:t>Moraxella catarrhalis</w:t>
                  </w:r>
                </w:p>
                <w:p w:rsidR="009A1B75" w:rsidRPr="00F36418" w:rsidRDefault="009A1B75" w:rsidP="002E67EE">
                  <w:pPr>
                    <w:spacing w:line="276" w:lineRule="auto"/>
                    <w:jc w:val="both"/>
                    <w:rPr>
                      <w:lang w:eastAsia="tr-TR"/>
                    </w:rPr>
                  </w:pPr>
                  <w:r w:rsidRPr="00F36418">
                    <w:rPr>
                      <w:i/>
                      <w:iCs/>
                      <w:lang w:eastAsia="tr-TR"/>
                    </w:rPr>
                    <w:t>Salmonella</w:t>
                  </w:r>
                  <w:r w:rsidRPr="00F36418">
                    <w:rPr>
                      <w:i/>
                      <w:lang w:eastAsia="tr-TR"/>
                    </w:rPr>
                    <w:t xml:space="preserve"> </w:t>
                  </w:r>
                  <w:r w:rsidRPr="00F36418">
                    <w:rPr>
                      <w:lang w:eastAsia="tr-TR"/>
                    </w:rPr>
                    <w:t>spp.</w:t>
                  </w:r>
                </w:p>
                <w:p w:rsidR="009A1B75" w:rsidRPr="00F36418" w:rsidRDefault="009A1B75" w:rsidP="002E67EE">
                  <w:pPr>
                    <w:spacing w:line="276" w:lineRule="auto"/>
                    <w:jc w:val="both"/>
                    <w:rPr>
                      <w:i/>
                      <w:lang w:eastAsia="tr-TR"/>
                    </w:rPr>
                  </w:pPr>
                  <w:r w:rsidRPr="00F36418">
                    <w:rPr>
                      <w:i/>
                      <w:iCs/>
                      <w:lang w:eastAsia="tr-TR"/>
                    </w:rPr>
                    <w:t>Stenotrophomonas maltophilia</w:t>
                  </w:r>
                </w:p>
                <w:p w:rsidR="009A1B75" w:rsidRPr="00F36418" w:rsidRDefault="009A1B75" w:rsidP="002E67EE">
                  <w:pPr>
                    <w:spacing w:line="276" w:lineRule="auto"/>
                    <w:jc w:val="both"/>
                    <w:rPr>
                      <w:lang w:eastAsia="tr-TR"/>
                    </w:rPr>
                  </w:pPr>
                  <w:r w:rsidRPr="00F36418">
                    <w:rPr>
                      <w:i/>
                      <w:iCs/>
                      <w:lang w:eastAsia="tr-TR"/>
                    </w:rPr>
                    <w:t>Yersinia</w:t>
                  </w:r>
                  <w:r w:rsidRPr="00F36418">
                    <w:rPr>
                      <w:i/>
                      <w:lang w:eastAsia="tr-TR"/>
                    </w:rPr>
                    <w:t xml:space="preserve"> spp.</w:t>
                  </w:r>
                </w:p>
              </w:tc>
            </w:tr>
            <w:tr w:rsidR="009A1B75" w:rsidRPr="00F36418" w:rsidTr="002E67EE">
              <w:trPr>
                <w:tblCellSpacing w:w="0" w:type="dxa"/>
              </w:trPr>
              <w:tc>
                <w:tcPr>
                  <w:tcW w:w="863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A1B75" w:rsidRPr="00F36418" w:rsidRDefault="009A1B75" w:rsidP="002E67EE">
                  <w:pPr>
                    <w:spacing w:line="276" w:lineRule="auto"/>
                    <w:jc w:val="both"/>
                    <w:rPr>
                      <w:lang w:eastAsia="tr-TR"/>
                    </w:rPr>
                  </w:pPr>
                  <w:r w:rsidRPr="00F36418">
                    <w:rPr>
                      <w:b/>
                      <w:bCs/>
                      <w:lang w:eastAsia="tr-TR"/>
                    </w:rPr>
                    <w:t>Edinilmiş direncin problem oluşturabileceği türler</w:t>
                  </w:r>
                  <w:r w:rsidRPr="00F36418">
                    <w:rPr>
                      <w:bCs/>
                      <w:lang w:eastAsia="tr-TR"/>
                    </w:rPr>
                    <w:t>:</w:t>
                  </w:r>
                </w:p>
              </w:tc>
            </w:tr>
            <w:tr w:rsidR="009A1B75" w:rsidRPr="00F36418" w:rsidTr="002E67EE">
              <w:trPr>
                <w:tblCellSpacing w:w="0" w:type="dxa"/>
              </w:trPr>
              <w:tc>
                <w:tcPr>
                  <w:tcW w:w="863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A1B75" w:rsidRPr="00F36418" w:rsidRDefault="009A1B75" w:rsidP="002E67EE">
                  <w:pPr>
                    <w:spacing w:line="276" w:lineRule="auto"/>
                    <w:jc w:val="both"/>
                    <w:rPr>
                      <w:lang w:eastAsia="tr-TR"/>
                    </w:rPr>
                  </w:pPr>
                  <w:r w:rsidRPr="00F36418">
                    <w:rPr>
                      <w:b/>
                      <w:bCs/>
                      <w:lang w:eastAsia="tr-TR"/>
                    </w:rPr>
                    <w:t>Gram-pozitif aeroblar</w:t>
                  </w:r>
                  <w:r w:rsidRPr="00F36418">
                    <w:rPr>
                      <w:bCs/>
                      <w:lang w:eastAsia="tr-TR"/>
                    </w:rPr>
                    <w:t>:</w:t>
                  </w:r>
                </w:p>
                <w:p w:rsidR="009A1B75" w:rsidRPr="00F36418" w:rsidRDefault="009A1B75" w:rsidP="002E67EE">
                  <w:pPr>
                    <w:spacing w:line="276" w:lineRule="auto"/>
                    <w:jc w:val="both"/>
                    <w:rPr>
                      <w:i/>
                      <w:lang w:eastAsia="tr-TR"/>
                    </w:rPr>
                  </w:pPr>
                  <w:r w:rsidRPr="00F36418">
                    <w:rPr>
                      <w:i/>
                      <w:iCs/>
                      <w:lang w:eastAsia="tr-TR"/>
                    </w:rPr>
                    <w:t xml:space="preserve">Enterococcus faecalis </w:t>
                  </w:r>
                </w:p>
                <w:p w:rsidR="009A1B75" w:rsidRPr="00F36418" w:rsidRDefault="009A1B75" w:rsidP="002E67EE">
                  <w:pPr>
                    <w:spacing w:line="276" w:lineRule="auto"/>
                    <w:jc w:val="both"/>
                    <w:rPr>
                      <w:i/>
                      <w:lang w:eastAsia="tr-TR"/>
                    </w:rPr>
                  </w:pPr>
                  <w:r w:rsidRPr="00F36418">
                    <w:rPr>
                      <w:i/>
                      <w:iCs/>
                      <w:lang w:eastAsia="tr-TR"/>
                    </w:rPr>
                    <w:t xml:space="preserve">Enterococcus faecium </w:t>
                  </w:r>
                </w:p>
                <w:p w:rsidR="009A1B75" w:rsidRPr="00F36418" w:rsidRDefault="009A1B75" w:rsidP="002E67EE">
                  <w:pPr>
                    <w:spacing w:line="276" w:lineRule="auto"/>
                    <w:jc w:val="both"/>
                    <w:rPr>
                      <w:lang w:eastAsia="tr-TR"/>
                    </w:rPr>
                  </w:pPr>
                  <w:r w:rsidRPr="00F36418">
                    <w:rPr>
                      <w:i/>
                      <w:iCs/>
                      <w:lang w:eastAsia="tr-TR"/>
                    </w:rPr>
                    <w:t xml:space="preserve">Nocardia </w:t>
                  </w:r>
                  <w:r w:rsidRPr="00F36418">
                    <w:rPr>
                      <w:lang w:eastAsia="tr-TR"/>
                    </w:rPr>
                    <w:t>spp.</w:t>
                  </w:r>
                </w:p>
                <w:p w:rsidR="009A1B75" w:rsidRPr="00F36418" w:rsidRDefault="009A1B75" w:rsidP="002E67EE">
                  <w:pPr>
                    <w:spacing w:line="276" w:lineRule="auto"/>
                    <w:jc w:val="both"/>
                    <w:rPr>
                      <w:i/>
                      <w:lang w:eastAsia="tr-TR"/>
                    </w:rPr>
                  </w:pPr>
                  <w:r w:rsidRPr="00F36418">
                    <w:rPr>
                      <w:i/>
                      <w:iCs/>
                      <w:lang w:eastAsia="tr-TR"/>
                    </w:rPr>
                    <w:t>Staphylococcus epidermidis</w:t>
                  </w:r>
                </w:p>
                <w:p w:rsidR="009A1B75" w:rsidRPr="00F36418" w:rsidRDefault="009A1B75" w:rsidP="002E67EE">
                  <w:pPr>
                    <w:spacing w:line="276" w:lineRule="auto"/>
                    <w:jc w:val="both"/>
                    <w:rPr>
                      <w:lang w:eastAsia="tr-TR"/>
                    </w:rPr>
                  </w:pPr>
                  <w:r w:rsidRPr="00F36418">
                    <w:rPr>
                      <w:i/>
                      <w:iCs/>
                      <w:lang w:eastAsia="tr-TR"/>
                    </w:rPr>
                    <w:t>Streptococcus pneumoniae</w:t>
                  </w:r>
                </w:p>
              </w:tc>
            </w:tr>
            <w:tr w:rsidR="009A1B75" w:rsidRPr="00F36418" w:rsidTr="002E67EE">
              <w:trPr>
                <w:tblCellSpacing w:w="0" w:type="dxa"/>
              </w:trPr>
              <w:tc>
                <w:tcPr>
                  <w:tcW w:w="863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A1B75" w:rsidRPr="00F36418" w:rsidRDefault="009A1B75" w:rsidP="002E67EE">
                  <w:pPr>
                    <w:spacing w:line="276" w:lineRule="auto"/>
                    <w:jc w:val="both"/>
                    <w:rPr>
                      <w:lang w:eastAsia="tr-TR"/>
                    </w:rPr>
                  </w:pPr>
                  <w:r w:rsidRPr="00F36418">
                    <w:rPr>
                      <w:b/>
                      <w:bCs/>
                      <w:lang w:eastAsia="tr-TR"/>
                    </w:rPr>
                    <w:t>Gram-negatif aeroblar</w:t>
                  </w:r>
                  <w:r w:rsidRPr="00F36418">
                    <w:rPr>
                      <w:bCs/>
                      <w:lang w:eastAsia="tr-TR"/>
                    </w:rPr>
                    <w:t>:</w:t>
                  </w:r>
                </w:p>
                <w:p w:rsidR="009A1B75" w:rsidRPr="00F36418" w:rsidRDefault="009A1B75" w:rsidP="002E67EE">
                  <w:pPr>
                    <w:spacing w:line="276" w:lineRule="auto"/>
                    <w:jc w:val="both"/>
                    <w:rPr>
                      <w:lang w:eastAsia="tr-TR"/>
                    </w:rPr>
                  </w:pPr>
                  <w:r w:rsidRPr="00F36418">
                    <w:rPr>
                      <w:i/>
                      <w:iCs/>
                      <w:lang w:eastAsia="tr-TR"/>
                    </w:rPr>
                    <w:t>Citrobacter</w:t>
                  </w:r>
                  <w:r w:rsidRPr="00F36418">
                    <w:rPr>
                      <w:i/>
                      <w:lang w:eastAsia="tr-TR"/>
                    </w:rPr>
                    <w:t xml:space="preserve"> </w:t>
                  </w:r>
                  <w:r w:rsidRPr="00F36418">
                    <w:rPr>
                      <w:lang w:eastAsia="tr-TR"/>
                    </w:rPr>
                    <w:t>spp.</w:t>
                  </w:r>
                </w:p>
                <w:p w:rsidR="009A1B75" w:rsidRPr="00F36418" w:rsidRDefault="009A1B75" w:rsidP="002E67EE">
                  <w:pPr>
                    <w:spacing w:line="276" w:lineRule="auto"/>
                    <w:jc w:val="both"/>
                    <w:rPr>
                      <w:i/>
                      <w:lang w:eastAsia="tr-TR"/>
                    </w:rPr>
                  </w:pPr>
                  <w:r w:rsidRPr="00F36418">
                    <w:rPr>
                      <w:i/>
                      <w:iCs/>
                      <w:lang w:eastAsia="tr-TR"/>
                    </w:rPr>
                    <w:lastRenderedPageBreak/>
                    <w:t>Enterobacter aerogenes</w:t>
                  </w:r>
                </w:p>
                <w:p w:rsidR="009A1B75" w:rsidRPr="00F36418" w:rsidRDefault="009A1B75" w:rsidP="002E67EE">
                  <w:pPr>
                    <w:spacing w:line="276" w:lineRule="auto"/>
                    <w:jc w:val="both"/>
                    <w:rPr>
                      <w:i/>
                      <w:lang w:eastAsia="tr-TR"/>
                    </w:rPr>
                  </w:pPr>
                  <w:r w:rsidRPr="00F36418">
                    <w:rPr>
                      <w:i/>
                      <w:iCs/>
                      <w:lang w:eastAsia="tr-TR"/>
                    </w:rPr>
                    <w:t>Escherichia coli</w:t>
                  </w:r>
                </w:p>
                <w:p w:rsidR="009A1B75" w:rsidRPr="00F36418" w:rsidRDefault="009A1B75" w:rsidP="002E67EE">
                  <w:pPr>
                    <w:spacing w:line="276" w:lineRule="auto"/>
                    <w:jc w:val="both"/>
                    <w:rPr>
                      <w:i/>
                      <w:lang w:eastAsia="tr-TR"/>
                    </w:rPr>
                  </w:pPr>
                  <w:r w:rsidRPr="00F36418">
                    <w:rPr>
                      <w:i/>
                      <w:iCs/>
                      <w:lang w:eastAsia="tr-TR"/>
                    </w:rPr>
                    <w:t>Klebsiella pneumoniae</w:t>
                  </w:r>
                </w:p>
                <w:p w:rsidR="009A1B75" w:rsidRPr="00F36418" w:rsidRDefault="009A1B75" w:rsidP="002E67EE">
                  <w:pPr>
                    <w:spacing w:line="276" w:lineRule="auto"/>
                    <w:jc w:val="both"/>
                    <w:rPr>
                      <w:i/>
                      <w:lang w:eastAsia="tr-TR"/>
                    </w:rPr>
                  </w:pPr>
                  <w:r w:rsidRPr="00F36418">
                    <w:rPr>
                      <w:i/>
                      <w:iCs/>
                      <w:lang w:eastAsia="tr-TR"/>
                    </w:rPr>
                    <w:t>Klebsiella pneumonia</w:t>
                  </w:r>
                </w:p>
                <w:p w:rsidR="009A1B75" w:rsidRPr="00F36418" w:rsidRDefault="009A1B75" w:rsidP="002E67EE">
                  <w:pPr>
                    <w:spacing w:line="276" w:lineRule="auto"/>
                    <w:jc w:val="both"/>
                    <w:rPr>
                      <w:i/>
                      <w:lang w:eastAsia="tr-TR"/>
                    </w:rPr>
                  </w:pPr>
                  <w:r w:rsidRPr="00F36418">
                    <w:rPr>
                      <w:i/>
                      <w:iCs/>
                      <w:lang w:eastAsia="tr-TR"/>
                    </w:rPr>
                    <w:t>Proteus mirabilis</w:t>
                  </w:r>
                </w:p>
                <w:p w:rsidR="009A1B75" w:rsidRPr="00F36418" w:rsidRDefault="009A1B75" w:rsidP="002E67EE">
                  <w:pPr>
                    <w:spacing w:line="276" w:lineRule="auto"/>
                    <w:jc w:val="both"/>
                    <w:rPr>
                      <w:i/>
                      <w:lang w:eastAsia="tr-TR"/>
                    </w:rPr>
                  </w:pPr>
                  <w:r w:rsidRPr="00F36418">
                    <w:rPr>
                      <w:i/>
                      <w:iCs/>
                      <w:lang w:eastAsia="tr-TR"/>
                    </w:rPr>
                    <w:t>Proteus vulgaris</w:t>
                  </w:r>
                </w:p>
                <w:p w:rsidR="009A1B75" w:rsidRPr="00F36418" w:rsidRDefault="009A1B75" w:rsidP="002E67EE">
                  <w:pPr>
                    <w:spacing w:line="276" w:lineRule="auto"/>
                    <w:jc w:val="both"/>
                    <w:rPr>
                      <w:lang w:eastAsia="tr-TR"/>
                    </w:rPr>
                  </w:pPr>
                  <w:r w:rsidRPr="00F36418">
                    <w:rPr>
                      <w:i/>
                      <w:iCs/>
                      <w:lang w:eastAsia="tr-TR"/>
                    </w:rPr>
                    <w:t>Providencia</w:t>
                  </w:r>
                  <w:r w:rsidRPr="00F36418">
                    <w:rPr>
                      <w:i/>
                      <w:lang w:eastAsia="tr-TR"/>
                    </w:rPr>
                    <w:t xml:space="preserve"> </w:t>
                  </w:r>
                  <w:r w:rsidRPr="00F36418">
                    <w:rPr>
                      <w:lang w:eastAsia="tr-TR"/>
                    </w:rPr>
                    <w:t>spp.</w:t>
                  </w:r>
                </w:p>
                <w:p w:rsidR="006113B7" w:rsidRPr="00F36418" w:rsidRDefault="009A1B75" w:rsidP="002E67EE">
                  <w:pPr>
                    <w:spacing w:line="276" w:lineRule="auto"/>
                    <w:jc w:val="both"/>
                    <w:rPr>
                      <w:lang w:eastAsia="tr-TR"/>
                    </w:rPr>
                  </w:pPr>
                  <w:r w:rsidRPr="00F36418">
                    <w:rPr>
                      <w:i/>
                      <w:iCs/>
                      <w:lang w:eastAsia="tr-TR"/>
                    </w:rPr>
                    <w:t>Serratia marcesans</w:t>
                  </w:r>
                  <w:r w:rsidRPr="00F36418">
                    <w:rPr>
                      <w:lang w:eastAsia="tr-TR"/>
                    </w:rPr>
                    <w:t> </w:t>
                  </w:r>
                </w:p>
                <w:p w:rsidR="006113B7" w:rsidRPr="00F36418" w:rsidRDefault="006113B7" w:rsidP="002E67EE">
                  <w:pPr>
                    <w:spacing w:line="276" w:lineRule="auto"/>
                    <w:jc w:val="both"/>
                    <w:rPr>
                      <w:lang w:eastAsia="tr-TR"/>
                    </w:rPr>
                  </w:pPr>
                </w:p>
              </w:tc>
            </w:tr>
            <w:tr w:rsidR="009A1B75" w:rsidRPr="00F36418" w:rsidTr="002E67EE">
              <w:trPr>
                <w:tblCellSpacing w:w="0" w:type="dxa"/>
              </w:trPr>
              <w:tc>
                <w:tcPr>
                  <w:tcW w:w="863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A1B75" w:rsidRPr="00F36418" w:rsidRDefault="009A1B75" w:rsidP="002E67EE">
                  <w:pPr>
                    <w:spacing w:line="276" w:lineRule="auto"/>
                    <w:jc w:val="both"/>
                    <w:rPr>
                      <w:lang w:eastAsia="tr-TR"/>
                    </w:rPr>
                  </w:pPr>
                  <w:r w:rsidRPr="00F36418">
                    <w:rPr>
                      <w:b/>
                      <w:bCs/>
                      <w:lang w:eastAsia="tr-TR"/>
                    </w:rPr>
                    <w:lastRenderedPageBreak/>
                    <w:t>Doğal olarak dirençli organizmalar</w:t>
                  </w:r>
                  <w:r w:rsidRPr="00F36418">
                    <w:rPr>
                      <w:bCs/>
                      <w:lang w:eastAsia="tr-TR"/>
                    </w:rPr>
                    <w:t>:</w:t>
                  </w:r>
                </w:p>
              </w:tc>
            </w:tr>
            <w:tr w:rsidR="009A1B75" w:rsidRPr="00F36418" w:rsidTr="002E67EE">
              <w:trPr>
                <w:tblCellSpacing w:w="0" w:type="dxa"/>
              </w:trPr>
              <w:tc>
                <w:tcPr>
                  <w:tcW w:w="863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A1B75" w:rsidRPr="00F36418" w:rsidRDefault="009A1B75" w:rsidP="002E67EE">
                  <w:pPr>
                    <w:spacing w:line="276" w:lineRule="auto"/>
                    <w:jc w:val="both"/>
                    <w:rPr>
                      <w:lang w:eastAsia="tr-TR"/>
                    </w:rPr>
                  </w:pPr>
                  <w:r w:rsidRPr="00F36418">
                    <w:rPr>
                      <w:b/>
                      <w:bCs/>
                      <w:lang w:eastAsia="tr-TR"/>
                    </w:rPr>
                    <w:t>Gram-negatif aeroblar</w:t>
                  </w:r>
                  <w:r w:rsidRPr="00F36418">
                    <w:rPr>
                      <w:bCs/>
                      <w:lang w:eastAsia="tr-TR"/>
                    </w:rPr>
                    <w:t>:</w:t>
                  </w:r>
                </w:p>
                <w:p w:rsidR="009A1B75" w:rsidRPr="00F36418" w:rsidRDefault="009A1B75" w:rsidP="002E67EE">
                  <w:pPr>
                    <w:spacing w:line="276" w:lineRule="auto"/>
                    <w:jc w:val="both"/>
                    <w:rPr>
                      <w:i/>
                      <w:lang w:eastAsia="tr-TR"/>
                    </w:rPr>
                  </w:pPr>
                  <w:r w:rsidRPr="00F36418">
                    <w:rPr>
                      <w:i/>
                      <w:iCs/>
                      <w:lang w:eastAsia="tr-TR"/>
                    </w:rPr>
                    <w:t>Pseudomonas aeruginosa</w:t>
                  </w:r>
                </w:p>
                <w:p w:rsidR="009A1B75" w:rsidRPr="00F36418" w:rsidRDefault="009A1B75" w:rsidP="002E67EE">
                  <w:pPr>
                    <w:spacing w:line="276" w:lineRule="auto"/>
                    <w:jc w:val="both"/>
                    <w:rPr>
                      <w:i/>
                      <w:lang w:eastAsia="tr-TR"/>
                    </w:rPr>
                  </w:pPr>
                  <w:r w:rsidRPr="00F36418">
                    <w:rPr>
                      <w:i/>
                      <w:iCs/>
                      <w:lang w:eastAsia="tr-TR"/>
                    </w:rPr>
                    <w:t xml:space="preserve">Shigella </w:t>
                  </w:r>
                  <w:r w:rsidRPr="00F36418">
                    <w:rPr>
                      <w:i/>
                      <w:lang w:eastAsia="tr-TR"/>
                    </w:rPr>
                    <w:t>spp</w:t>
                  </w:r>
                  <w:r w:rsidRPr="00F36418">
                    <w:rPr>
                      <w:i/>
                      <w:iCs/>
                      <w:lang w:eastAsia="tr-TR"/>
                    </w:rPr>
                    <w:t>.</w:t>
                  </w:r>
                </w:p>
                <w:p w:rsidR="009A1B75" w:rsidRPr="00F36418" w:rsidRDefault="009A1B75" w:rsidP="002E67EE">
                  <w:pPr>
                    <w:spacing w:line="276" w:lineRule="auto"/>
                    <w:jc w:val="both"/>
                    <w:rPr>
                      <w:lang w:eastAsia="tr-TR"/>
                    </w:rPr>
                  </w:pPr>
                  <w:r w:rsidRPr="00F36418">
                    <w:rPr>
                      <w:i/>
                      <w:iCs/>
                      <w:lang w:eastAsia="tr-TR"/>
                    </w:rPr>
                    <w:t>Vibrio cholera</w:t>
                  </w:r>
                  <w:r w:rsidRPr="00F36418">
                    <w:rPr>
                      <w:lang w:eastAsia="tr-TR"/>
                    </w:rPr>
                    <w:t> </w:t>
                  </w:r>
                </w:p>
              </w:tc>
            </w:tr>
          </w:tbl>
          <w:p w:rsidR="009A1B75" w:rsidRPr="00F36418" w:rsidRDefault="009A1B75" w:rsidP="002E67EE">
            <w:pPr>
              <w:spacing w:line="276" w:lineRule="auto"/>
              <w:jc w:val="both"/>
              <w:rPr>
                <w:lang w:eastAsia="tr-TR"/>
              </w:rPr>
            </w:pPr>
          </w:p>
        </w:tc>
        <w:tc>
          <w:tcPr>
            <w:tcW w:w="100" w:type="pct"/>
            <w:tcMar>
              <w:top w:w="20" w:type="dxa"/>
              <w:left w:w="20" w:type="dxa"/>
              <w:bottom w:w="20" w:type="dxa"/>
              <w:right w:w="20" w:type="dxa"/>
            </w:tcMar>
            <w:vAlign w:val="center"/>
          </w:tcPr>
          <w:p w:rsidR="009A1B75" w:rsidRPr="00F36418" w:rsidRDefault="009A1B75" w:rsidP="002E67EE">
            <w:pPr>
              <w:spacing w:line="276" w:lineRule="auto"/>
              <w:jc w:val="both"/>
              <w:rPr>
                <w:lang w:eastAsia="tr-TR"/>
              </w:rPr>
            </w:pPr>
          </w:p>
        </w:tc>
      </w:tr>
    </w:tbl>
    <w:p w:rsidR="00180DB0" w:rsidRPr="00F36418" w:rsidRDefault="00180DB0" w:rsidP="009A1B75">
      <w:pPr>
        <w:spacing w:line="276" w:lineRule="auto"/>
        <w:jc w:val="both"/>
        <w:rPr>
          <w:b/>
        </w:rPr>
      </w:pPr>
    </w:p>
    <w:p w:rsidR="008A1E76" w:rsidRPr="00F36418" w:rsidRDefault="008A1E76" w:rsidP="009A1B75">
      <w:pPr>
        <w:pStyle w:val="ListeParagraf"/>
        <w:numPr>
          <w:ilvl w:val="1"/>
          <w:numId w:val="1"/>
        </w:numPr>
        <w:spacing w:line="276" w:lineRule="auto"/>
        <w:ind w:left="0" w:firstLine="0"/>
        <w:jc w:val="both"/>
        <w:rPr>
          <w:b/>
        </w:rPr>
      </w:pPr>
      <w:r w:rsidRPr="00F36418">
        <w:rPr>
          <w:b/>
        </w:rPr>
        <w:t>Farmakokinetik özellikler</w:t>
      </w:r>
    </w:p>
    <w:p w:rsidR="009A1B75" w:rsidRPr="00F36418" w:rsidRDefault="009A1B75" w:rsidP="009A1B75">
      <w:pPr>
        <w:spacing w:line="276" w:lineRule="auto"/>
        <w:jc w:val="both"/>
        <w:rPr>
          <w:u w:val="single"/>
        </w:rPr>
      </w:pPr>
      <w:r w:rsidRPr="00F36418">
        <w:rPr>
          <w:u w:val="single"/>
        </w:rPr>
        <w:t xml:space="preserve">Emilim: </w:t>
      </w:r>
    </w:p>
    <w:p w:rsidR="009A1B75" w:rsidRPr="00F36418" w:rsidRDefault="009A1B75" w:rsidP="009A1B75">
      <w:pPr>
        <w:spacing w:line="276" w:lineRule="auto"/>
        <w:jc w:val="both"/>
        <w:rPr>
          <w:lang w:eastAsia="tr-TR"/>
        </w:rPr>
      </w:pPr>
      <w:r w:rsidRPr="00F36418">
        <w:rPr>
          <w:lang w:eastAsia="tr-TR"/>
        </w:rPr>
        <w:t xml:space="preserve">Oral uygulamadan sonra trimetoprim ve sülfametoksazol hızlı bir şekilde ve hemen hemen tamamen emilir. Besinlerin varlığı emilimi geciktirmez. Kanda pik düzeyler ilacın alınmasından bir ve dört saat sonra gerçekleşir ve elde edilen düzey dozla ilişkilidir. Terapötik bir dozdan sonra kanda etkin düzeyler 24 saate kadar devam eder. Erişkinlerde, sabit durum düzeylerine doz verildikten 2-3 gün sonra ulaşılır. İki öğeden hiçbirisinin diğerinin kanda elde edilen </w:t>
      </w:r>
      <w:proofErr w:type="gramStart"/>
      <w:r w:rsidRPr="00F36418">
        <w:rPr>
          <w:lang w:eastAsia="tr-TR"/>
        </w:rPr>
        <w:t>konsantrasyonu</w:t>
      </w:r>
      <w:proofErr w:type="gramEnd"/>
      <w:r w:rsidRPr="00F36418">
        <w:rPr>
          <w:lang w:eastAsia="tr-TR"/>
        </w:rPr>
        <w:t xml:space="preserve"> üzerinde önemli etkisi yoktur. </w:t>
      </w:r>
    </w:p>
    <w:p w:rsidR="009A1B75" w:rsidRPr="00F36418" w:rsidRDefault="009A1B75" w:rsidP="009A1B75">
      <w:pPr>
        <w:spacing w:line="276" w:lineRule="auto"/>
        <w:jc w:val="both"/>
        <w:rPr>
          <w:lang w:eastAsia="tr-TR"/>
        </w:rPr>
      </w:pPr>
    </w:p>
    <w:p w:rsidR="009A1B75" w:rsidRPr="00F36418" w:rsidRDefault="009A1B75" w:rsidP="009A1B75">
      <w:pPr>
        <w:spacing w:line="276" w:lineRule="auto"/>
        <w:jc w:val="both"/>
      </w:pPr>
      <w:r w:rsidRPr="00F36418">
        <w:rPr>
          <w:u w:val="single"/>
        </w:rPr>
        <w:t>Dağılım:</w:t>
      </w:r>
      <w:r w:rsidRPr="00F36418">
        <w:t xml:space="preserve"> </w:t>
      </w:r>
    </w:p>
    <w:p w:rsidR="009A1B75" w:rsidRPr="00F36418" w:rsidRDefault="009A1B75" w:rsidP="009A1B75">
      <w:pPr>
        <w:spacing w:line="276" w:lineRule="auto"/>
        <w:jc w:val="both"/>
        <w:rPr>
          <w:lang w:eastAsia="tr-TR"/>
        </w:rPr>
      </w:pPr>
      <w:r w:rsidRPr="00F36418">
        <w:rPr>
          <w:lang w:eastAsia="tr-TR"/>
        </w:rPr>
        <w:t xml:space="preserve">Trimetoprim pKa </w:t>
      </w:r>
      <w:proofErr w:type="gramStart"/>
      <w:r w:rsidRPr="00F36418">
        <w:rPr>
          <w:lang w:eastAsia="tr-TR"/>
        </w:rPr>
        <w:t>7.4</w:t>
      </w:r>
      <w:proofErr w:type="gramEnd"/>
      <w:r w:rsidRPr="00F36418">
        <w:rPr>
          <w:lang w:eastAsia="tr-TR"/>
        </w:rPr>
        <w:t xml:space="preserve"> olan zayıf bir bazdır. Lipofiliktir. Trimetoprim doku düzeyleri genel olarak ilgili plazma düzeylerinden daha yüksektir (akciğerler ve böbrekler özellikle yüksek </w:t>
      </w:r>
      <w:proofErr w:type="gramStart"/>
      <w:r w:rsidRPr="00F36418">
        <w:rPr>
          <w:lang w:eastAsia="tr-TR"/>
        </w:rPr>
        <w:t>konsantrasyonlar</w:t>
      </w:r>
      <w:proofErr w:type="gramEnd"/>
      <w:r w:rsidRPr="00F36418">
        <w:rPr>
          <w:lang w:eastAsia="tr-TR"/>
        </w:rPr>
        <w:t xml:space="preserve"> gösterir). Trimetorpim </w:t>
      </w:r>
      <w:proofErr w:type="gramStart"/>
      <w:r w:rsidRPr="00F36418">
        <w:rPr>
          <w:lang w:eastAsia="tr-TR"/>
        </w:rPr>
        <w:t>konsantrasyonları</w:t>
      </w:r>
      <w:proofErr w:type="gramEnd"/>
      <w:r w:rsidRPr="00F36418">
        <w:rPr>
          <w:lang w:eastAsia="tr-TR"/>
        </w:rPr>
        <w:t xml:space="preserve">, safrada, prostatik sıvıda ve dokuda, tükürükte, balgamda ve vajinal sekresyonlarda plazma konsantrasyonlarını aşar. Aköz humor, anne sütü, beyin-omurilik sıvısı, orta kulak sıvısı, sinoviyal sıvı ve doku (intestinal) sıvısındaki düzeyler, antibakteriyel aktivite için uygundur. Trimetoprim amniyoitk sıvıya ve fetal dokulara geçer (maternal serum </w:t>
      </w:r>
      <w:proofErr w:type="gramStart"/>
      <w:r w:rsidRPr="00F36418">
        <w:rPr>
          <w:lang w:eastAsia="tr-TR"/>
        </w:rPr>
        <w:t>konsantrasyonlarına</w:t>
      </w:r>
      <w:proofErr w:type="gramEnd"/>
      <w:r w:rsidRPr="00F36418">
        <w:rPr>
          <w:lang w:eastAsia="tr-TR"/>
        </w:rPr>
        <w:t xml:space="preserve"> yakın konsantrasyonlara ulaşır). </w:t>
      </w:r>
    </w:p>
    <w:p w:rsidR="009A1B75" w:rsidRPr="00F36418" w:rsidRDefault="009A1B75" w:rsidP="009A1B75">
      <w:pPr>
        <w:spacing w:line="276" w:lineRule="auto"/>
        <w:jc w:val="both"/>
      </w:pPr>
      <w:r w:rsidRPr="00F36418">
        <w:rPr>
          <w:lang w:eastAsia="tr-TR"/>
        </w:rPr>
        <w:t xml:space="preserve">Plazmada trimetoprimin %50’si poteine bağlıdır. İnsanda yarı-ömür, böbrek fonksiyonu normal olduğu zaman 8,6-17 saattir. Kreatinin klirensi 10 ml/dk’dan düşükse, yarı-ömür 1,5-3,0 kat uzar. Yaşlılarda, gençlere göre anlamlı fark görünmemektedir. </w:t>
      </w:r>
    </w:p>
    <w:p w:rsidR="002E67EE" w:rsidRPr="00F36418" w:rsidRDefault="002E67EE" w:rsidP="002E67EE">
      <w:pPr>
        <w:spacing w:line="276" w:lineRule="auto"/>
        <w:jc w:val="both"/>
        <w:rPr>
          <w:u w:val="single"/>
          <w:lang w:eastAsia="tr-TR"/>
        </w:rPr>
      </w:pPr>
    </w:p>
    <w:p w:rsidR="002E67EE" w:rsidRPr="00F36418" w:rsidRDefault="002E67EE" w:rsidP="002E67EE">
      <w:pPr>
        <w:spacing w:line="276" w:lineRule="auto"/>
        <w:jc w:val="both"/>
        <w:rPr>
          <w:u w:val="single"/>
          <w:lang w:eastAsia="tr-TR"/>
        </w:rPr>
      </w:pPr>
      <w:r w:rsidRPr="00F36418">
        <w:rPr>
          <w:u w:val="single"/>
          <w:lang w:eastAsia="tr-TR"/>
        </w:rPr>
        <w:t>Biyotransformasyon:</w:t>
      </w:r>
    </w:p>
    <w:p w:rsidR="002E67EE" w:rsidRPr="00F36418" w:rsidRDefault="002E67EE" w:rsidP="002E67EE">
      <w:pPr>
        <w:pStyle w:val="Default"/>
        <w:jc w:val="both"/>
        <w:rPr>
          <w:color w:val="auto"/>
        </w:rPr>
      </w:pPr>
      <w:r w:rsidRPr="00F36418">
        <w:rPr>
          <w:color w:val="auto"/>
        </w:rPr>
        <w:t xml:space="preserve">Glukuronid </w:t>
      </w:r>
      <w:r w:rsidRPr="00F36418">
        <w:rPr>
          <w:rStyle w:val="hps"/>
          <w:color w:val="auto"/>
        </w:rPr>
        <w:t>konjugasyonu</w:t>
      </w:r>
      <w:r w:rsidRPr="00F36418">
        <w:rPr>
          <w:color w:val="auto"/>
        </w:rPr>
        <w:t xml:space="preserve"> </w:t>
      </w:r>
      <w:r w:rsidRPr="00F36418">
        <w:rPr>
          <w:rStyle w:val="hps"/>
          <w:color w:val="auto"/>
        </w:rPr>
        <w:t>tespit edilmesine rağmen</w:t>
      </w:r>
      <w:r w:rsidRPr="00F36418">
        <w:rPr>
          <w:color w:val="auto"/>
        </w:rPr>
        <w:t xml:space="preserve"> </w:t>
      </w:r>
      <w:r w:rsidRPr="00F36418">
        <w:rPr>
          <w:rStyle w:val="hps"/>
          <w:color w:val="auto"/>
        </w:rPr>
        <w:t>sülfametoksazol</w:t>
      </w:r>
      <w:r w:rsidRPr="00F36418">
        <w:rPr>
          <w:color w:val="auto"/>
        </w:rPr>
        <w:t xml:space="preserve"> </w:t>
      </w:r>
      <w:r w:rsidRPr="00F36418">
        <w:rPr>
          <w:rStyle w:val="hps"/>
          <w:color w:val="auto"/>
        </w:rPr>
        <w:t>metabolizması,</w:t>
      </w:r>
      <w:r w:rsidRPr="00F36418">
        <w:rPr>
          <w:color w:val="auto"/>
        </w:rPr>
        <w:t xml:space="preserve"> </w:t>
      </w:r>
      <w:r w:rsidRPr="00F36418">
        <w:rPr>
          <w:rStyle w:val="hps"/>
          <w:color w:val="auto"/>
        </w:rPr>
        <w:t>N4-</w:t>
      </w:r>
      <w:r w:rsidRPr="00F36418">
        <w:rPr>
          <w:color w:val="auto"/>
        </w:rPr>
        <w:t xml:space="preserve">asetilasyonu ile </w:t>
      </w:r>
      <w:r w:rsidRPr="00F36418">
        <w:rPr>
          <w:rStyle w:val="hps"/>
          <w:color w:val="auto"/>
        </w:rPr>
        <w:t>baskın olarak</w:t>
      </w:r>
      <w:r w:rsidRPr="00F36418">
        <w:rPr>
          <w:color w:val="auto"/>
        </w:rPr>
        <w:t xml:space="preserve"> </w:t>
      </w:r>
      <w:r w:rsidRPr="00F36418">
        <w:rPr>
          <w:rStyle w:val="hps"/>
          <w:color w:val="auto"/>
        </w:rPr>
        <w:t>ortaya çıkar.</w:t>
      </w:r>
      <w:r w:rsidRPr="00F36418">
        <w:rPr>
          <w:color w:val="auto"/>
        </w:rPr>
        <w:t xml:space="preserve"> </w:t>
      </w:r>
      <w:r w:rsidRPr="00F36418">
        <w:rPr>
          <w:rStyle w:val="hps"/>
          <w:color w:val="auto"/>
        </w:rPr>
        <w:t>Trimetoprimin</w:t>
      </w:r>
      <w:r w:rsidRPr="00F36418">
        <w:rPr>
          <w:color w:val="auto"/>
        </w:rPr>
        <w:t xml:space="preserve"> </w:t>
      </w:r>
      <w:r w:rsidRPr="00F36418">
        <w:rPr>
          <w:rStyle w:val="hps"/>
          <w:color w:val="auto"/>
        </w:rPr>
        <w:t>ana</w:t>
      </w:r>
      <w:r w:rsidRPr="00F36418">
        <w:rPr>
          <w:color w:val="auto"/>
        </w:rPr>
        <w:t xml:space="preserve"> </w:t>
      </w:r>
      <w:r w:rsidRPr="00F36418">
        <w:rPr>
          <w:rStyle w:val="hps"/>
          <w:color w:val="auto"/>
        </w:rPr>
        <w:t>metabolitleri</w:t>
      </w:r>
      <w:r w:rsidRPr="00F36418">
        <w:rPr>
          <w:color w:val="auto"/>
        </w:rPr>
        <w:t xml:space="preserve"> </w:t>
      </w:r>
      <w:r w:rsidRPr="00F36418">
        <w:rPr>
          <w:rStyle w:val="hps"/>
          <w:color w:val="auto"/>
        </w:rPr>
        <w:t>1</w:t>
      </w:r>
      <w:r w:rsidRPr="00F36418">
        <w:rPr>
          <w:color w:val="auto"/>
        </w:rPr>
        <w:t xml:space="preserve"> </w:t>
      </w:r>
      <w:r w:rsidRPr="00F36418">
        <w:rPr>
          <w:rStyle w:val="hps"/>
          <w:color w:val="auto"/>
        </w:rPr>
        <w:t>- ve</w:t>
      </w:r>
      <w:r w:rsidRPr="00F36418">
        <w:rPr>
          <w:color w:val="auto"/>
        </w:rPr>
        <w:t xml:space="preserve"> </w:t>
      </w:r>
      <w:r w:rsidRPr="00F36418">
        <w:rPr>
          <w:rStyle w:val="hps"/>
          <w:color w:val="auto"/>
        </w:rPr>
        <w:t>3</w:t>
      </w:r>
      <w:r w:rsidRPr="00F36418">
        <w:rPr>
          <w:color w:val="auto"/>
        </w:rPr>
        <w:t>-</w:t>
      </w:r>
      <w:proofErr w:type="gramStart"/>
      <w:r w:rsidRPr="00F36418">
        <w:rPr>
          <w:color w:val="auto"/>
        </w:rPr>
        <w:t>oksitler,</w:t>
      </w:r>
      <w:proofErr w:type="gramEnd"/>
      <w:r w:rsidRPr="00F36418">
        <w:rPr>
          <w:color w:val="auto"/>
        </w:rPr>
        <w:t xml:space="preserve"> </w:t>
      </w:r>
      <w:r w:rsidRPr="00F36418">
        <w:rPr>
          <w:rStyle w:val="hps"/>
          <w:color w:val="auto"/>
        </w:rPr>
        <w:t>ve</w:t>
      </w:r>
      <w:r w:rsidRPr="00F36418">
        <w:rPr>
          <w:color w:val="auto"/>
        </w:rPr>
        <w:t xml:space="preserve"> </w:t>
      </w:r>
      <w:r w:rsidRPr="00F36418">
        <w:rPr>
          <w:rStyle w:val="hps"/>
          <w:color w:val="auto"/>
        </w:rPr>
        <w:t>3 - ve 4</w:t>
      </w:r>
      <w:r w:rsidRPr="00F36418">
        <w:rPr>
          <w:color w:val="auto"/>
        </w:rPr>
        <w:t xml:space="preserve">-hidroksi </w:t>
      </w:r>
      <w:r w:rsidRPr="00F36418">
        <w:rPr>
          <w:rStyle w:val="hps"/>
          <w:color w:val="auto"/>
        </w:rPr>
        <w:t>türevleridir.</w:t>
      </w:r>
    </w:p>
    <w:p w:rsidR="009A1B75" w:rsidRPr="00F36418" w:rsidRDefault="009A1B75" w:rsidP="009A1B75">
      <w:pPr>
        <w:spacing w:line="276" w:lineRule="auto"/>
        <w:jc w:val="both"/>
        <w:rPr>
          <w:lang w:eastAsia="tr-TR"/>
        </w:rPr>
      </w:pPr>
    </w:p>
    <w:p w:rsidR="009A1B75" w:rsidRPr="00F36418" w:rsidRDefault="009A1B75" w:rsidP="009A1B75">
      <w:pPr>
        <w:spacing w:line="276" w:lineRule="auto"/>
        <w:jc w:val="both"/>
        <w:rPr>
          <w:u w:val="single"/>
        </w:rPr>
      </w:pPr>
      <w:r w:rsidRPr="00F36418">
        <w:rPr>
          <w:u w:val="single"/>
        </w:rPr>
        <w:t>Eliminasyon:</w:t>
      </w:r>
    </w:p>
    <w:p w:rsidR="009A1B75" w:rsidRPr="00F36418" w:rsidRDefault="009A1B75" w:rsidP="009A1B75">
      <w:pPr>
        <w:spacing w:line="276" w:lineRule="auto"/>
        <w:jc w:val="both"/>
        <w:rPr>
          <w:lang w:eastAsia="tr-TR"/>
        </w:rPr>
      </w:pPr>
      <w:r w:rsidRPr="00F36418">
        <w:rPr>
          <w:lang w:eastAsia="tr-TR"/>
        </w:rPr>
        <w:lastRenderedPageBreak/>
        <w:t xml:space="preserve">Trimetoprimin temel atılma yolu renaldir ve dozun yaklaşık olarak %50’si idrardan 24 saat içinde değişmeden atılır. İdrarda bazı metabolitler tanımlanmıştır. Trimetoprimin idrar </w:t>
      </w:r>
      <w:proofErr w:type="gramStart"/>
      <w:r w:rsidRPr="00F36418">
        <w:rPr>
          <w:lang w:eastAsia="tr-TR"/>
        </w:rPr>
        <w:t>konsantrasyonları</w:t>
      </w:r>
      <w:proofErr w:type="gramEnd"/>
      <w:r w:rsidRPr="00F36418">
        <w:rPr>
          <w:lang w:eastAsia="tr-TR"/>
        </w:rPr>
        <w:t xml:space="preserve"> oldukça değişkenlik gösterir. </w:t>
      </w:r>
    </w:p>
    <w:p w:rsidR="009A1B75" w:rsidRPr="00F36418" w:rsidRDefault="009A1B75" w:rsidP="009A1B75">
      <w:pPr>
        <w:spacing w:line="276" w:lineRule="auto"/>
        <w:jc w:val="both"/>
        <w:rPr>
          <w:highlight w:val="yellow"/>
          <w:u w:val="single"/>
        </w:rPr>
      </w:pPr>
    </w:p>
    <w:p w:rsidR="009A1B75" w:rsidRPr="00F36418" w:rsidRDefault="009A1B75" w:rsidP="009A1B75">
      <w:pPr>
        <w:spacing w:line="276" w:lineRule="auto"/>
        <w:jc w:val="both"/>
        <w:rPr>
          <w:lang w:eastAsia="tr-TR"/>
        </w:rPr>
      </w:pPr>
      <w:r w:rsidRPr="00F36418">
        <w:rPr>
          <w:lang w:eastAsia="tr-TR"/>
        </w:rPr>
        <w:t xml:space="preserve">Sülfametoksazol pKa </w:t>
      </w:r>
      <w:proofErr w:type="gramStart"/>
      <w:r w:rsidRPr="00F36418">
        <w:rPr>
          <w:lang w:eastAsia="tr-TR"/>
        </w:rPr>
        <w:t>6.0</w:t>
      </w:r>
      <w:proofErr w:type="gramEnd"/>
      <w:r w:rsidRPr="00F36418">
        <w:rPr>
          <w:lang w:eastAsia="tr-TR"/>
        </w:rPr>
        <w:t xml:space="preserve"> olan zayıf bir asittir. Çeşitli vücut sıvılarında aktif sülfametoksazolün </w:t>
      </w:r>
      <w:proofErr w:type="gramStart"/>
      <w:r w:rsidRPr="00F36418">
        <w:rPr>
          <w:lang w:eastAsia="tr-TR"/>
        </w:rPr>
        <w:t>konsantrasyonu</w:t>
      </w:r>
      <w:proofErr w:type="gramEnd"/>
      <w:r w:rsidRPr="00F36418">
        <w:rPr>
          <w:lang w:eastAsia="tr-TR"/>
        </w:rPr>
        <w:t xml:space="preserve">, plazma konsantrasyonunun %20-50’si kadardır. </w:t>
      </w:r>
    </w:p>
    <w:p w:rsidR="009A1B75" w:rsidRPr="00F36418" w:rsidRDefault="009A1B75" w:rsidP="009A1B75">
      <w:pPr>
        <w:spacing w:line="276" w:lineRule="auto"/>
        <w:jc w:val="both"/>
        <w:rPr>
          <w:lang w:eastAsia="tr-TR"/>
        </w:rPr>
      </w:pPr>
    </w:p>
    <w:p w:rsidR="009A1B75" w:rsidRPr="00F36418" w:rsidRDefault="009A1B75" w:rsidP="009A1B75">
      <w:pPr>
        <w:spacing w:line="276" w:lineRule="auto"/>
        <w:jc w:val="both"/>
        <w:rPr>
          <w:lang w:eastAsia="tr-TR"/>
        </w:rPr>
      </w:pPr>
      <w:r w:rsidRPr="00F36418">
        <w:rPr>
          <w:lang w:eastAsia="tr-TR"/>
        </w:rPr>
        <w:t xml:space="preserve">Plazmada sülfametoksazolün yaklaşık olarak %66’sı proteine bağlıdır. İnsanda yarı-ömür, böbrek fonksiyonu normal olduğunda 9-11 saattir. Böbrek fonksiyonunda azalma varsa, aktif sülfametoksazolün yarı-ömründe değişiklik olmaz, ama kreatinin klirensi 25 ml/dk’nın altında olduğu zaman majör, asetilenmiş metabolitin yarı ömrü uzar. </w:t>
      </w:r>
    </w:p>
    <w:p w:rsidR="009A1B75" w:rsidRPr="00F36418" w:rsidRDefault="009A1B75" w:rsidP="009A1B75">
      <w:pPr>
        <w:spacing w:line="276" w:lineRule="auto"/>
        <w:jc w:val="both"/>
        <w:rPr>
          <w:lang w:eastAsia="tr-TR"/>
        </w:rPr>
      </w:pPr>
    </w:p>
    <w:p w:rsidR="009A1B75" w:rsidRPr="00F36418" w:rsidRDefault="009A1B75" w:rsidP="009A1B75">
      <w:pPr>
        <w:spacing w:line="276" w:lineRule="auto"/>
        <w:jc w:val="both"/>
        <w:rPr>
          <w:lang w:eastAsia="tr-TR"/>
        </w:rPr>
      </w:pPr>
      <w:r w:rsidRPr="00F36418">
        <w:rPr>
          <w:lang w:eastAsia="tr-TR"/>
        </w:rPr>
        <w:t xml:space="preserve">Sülfametoksazolün temel atılma yolu renaldir; dozun %15-30’u (idrarda elde edilen) aktif formdadır. Yaşlı hastalarda, sülfametoksazolün böbrek klirensi düşüktür. </w:t>
      </w:r>
    </w:p>
    <w:p w:rsidR="00DC46F2" w:rsidRPr="00F36418" w:rsidRDefault="00DC46F2" w:rsidP="009A1B75">
      <w:pPr>
        <w:pStyle w:val="ListeParagraf"/>
        <w:spacing w:line="276" w:lineRule="auto"/>
        <w:ind w:left="0"/>
        <w:jc w:val="both"/>
        <w:rPr>
          <w:b/>
        </w:rPr>
      </w:pPr>
    </w:p>
    <w:p w:rsidR="002E67EE" w:rsidRPr="00F36418" w:rsidRDefault="002E67EE" w:rsidP="009A1B75">
      <w:pPr>
        <w:spacing w:line="276" w:lineRule="auto"/>
        <w:jc w:val="both"/>
        <w:rPr>
          <w:b/>
        </w:rPr>
      </w:pPr>
    </w:p>
    <w:p w:rsidR="008A1E76" w:rsidRPr="00F36418" w:rsidRDefault="008A1E76" w:rsidP="009A1B75">
      <w:pPr>
        <w:spacing w:line="276" w:lineRule="auto"/>
        <w:jc w:val="both"/>
        <w:rPr>
          <w:b/>
        </w:rPr>
      </w:pPr>
      <w:r w:rsidRPr="00F36418">
        <w:rPr>
          <w:b/>
        </w:rPr>
        <w:t>5.3. Klinik öncesi güvenlilik verileri</w:t>
      </w:r>
    </w:p>
    <w:p w:rsidR="009A1B75" w:rsidRPr="00F36418" w:rsidRDefault="009A1B75" w:rsidP="009A1B75">
      <w:pPr>
        <w:spacing w:line="276" w:lineRule="auto"/>
        <w:jc w:val="both"/>
        <w:rPr>
          <w:lang w:eastAsia="tr-TR"/>
        </w:rPr>
      </w:pPr>
      <w:bookmarkStart w:id="12" w:name="OLE_LINK29"/>
      <w:bookmarkStart w:id="13" w:name="OLE_LINK30"/>
      <w:r w:rsidRPr="00F36418">
        <w:rPr>
          <w:lang w:eastAsia="tr-TR"/>
        </w:rPr>
        <w:t xml:space="preserve">Reprodüktif toksikoloji: </w:t>
      </w:r>
    </w:p>
    <w:bookmarkEnd w:id="12"/>
    <w:bookmarkEnd w:id="13"/>
    <w:p w:rsidR="009A1B75" w:rsidRPr="00F36418" w:rsidRDefault="009A1B75" w:rsidP="009A1B75">
      <w:pPr>
        <w:spacing w:line="276" w:lineRule="auto"/>
        <w:jc w:val="both"/>
        <w:rPr>
          <w:lang w:eastAsia="tr-TR"/>
        </w:rPr>
      </w:pPr>
      <w:r w:rsidRPr="00F36418">
        <w:rPr>
          <w:lang w:eastAsia="tr-TR"/>
        </w:rPr>
        <w:t>Önerilen insan terapötik dozunun üzerindeki dozlarda, trimetoprim ve sülfametoksazolün, sıçanlarda damak yarığı ve diğer fetal bozukluklara  (folat antagonisiti için tipik bulgular) neden olduğu bildirilmiştir. Diyete folat eklenmesi ile trimetorpimin etkileri önlenebilmiştir. Tavşanlarda, insan trimetoprim terapötik dozlarının üzerindeki dozlarda fetal kayıplar görülmüştür.</w:t>
      </w:r>
    </w:p>
    <w:p w:rsidR="008A1E76" w:rsidRPr="00F36418" w:rsidRDefault="008A1E76" w:rsidP="009A1B75">
      <w:pPr>
        <w:spacing w:line="276" w:lineRule="auto"/>
        <w:jc w:val="both"/>
        <w:rPr>
          <w:b/>
        </w:rPr>
      </w:pPr>
    </w:p>
    <w:p w:rsidR="008A1E76" w:rsidRPr="00F36418" w:rsidRDefault="008A1E76" w:rsidP="009A1B75">
      <w:pPr>
        <w:spacing w:line="276" w:lineRule="auto"/>
        <w:jc w:val="both"/>
        <w:rPr>
          <w:b/>
        </w:rPr>
      </w:pPr>
      <w:r w:rsidRPr="00F36418">
        <w:rPr>
          <w:b/>
        </w:rPr>
        <w:t>6</w:t>
      </w:r>
      <w:r w:rsidR="00BE5458" w:rsidRPr="00F36418">
        <w:rPr>
          <w:b/>
        </w:rPr>
        <w:t>.</w:t>
      </w:r>
      <w:r w:rsidRPr="00F36418">
        <w:rPr>
          <w:b/>
        </w:rPr>
        <w:t xml:space="preserve"> FARMASÖTİK ÖZELLİKLER</w:t>
      </w:r>
    </w:p>
    <w:p w:rsidR="008A1E76" w:rsidRPr="00F36418" w:rsidRDefault="008A1E76" w:rsidP="009A1B75">
      <w:pPr>
        <w:spacing w:line="276" w:lineRule="auto"/>
        <w:jc w:val="both"/>
        <w:rPr>
          <w:b/>
        </w:rPr>
      </w:pPr>
      <w:r w:rsidRPr="00F36418">
        <w:rPr>
          <w:b/>
        </w:rPr>
        <w:t>6.1. Yardımcı maddelerin listesi</w:t>
      </w:r>
    </w:p>
    <w:p w:rsidR="00EA76D3" w:rsidRPr="00F36418" w:rsidRDefault="00EA76D3" w:rsidP="009A1B75">
      <w:pPr>
        <w:spacing w:line="276" w:lineRule="auto"/>
        <w:jc w:val="both"/>
      </w:pPr>
      <w:r w:rsidRPr="00F36418">
        <w:t>Propilen glikol</w:t>
      </w:r>
      <w:r w:rsidRPr="00F36418">
        <w:tab/>
      </w:r>
      <w:r w:rsidRPr="00F36418">
        <w:tab/>
      </w:r>
    </w:p>
    <w:p w:rsidR="00EA76D3" w:rsidRPr="00F36418" w:rsidRDefault="00EA76D3" w:rsidP="009A1B75">
      <w:pPr>
        <w:spacing w:line="276" w:lineRule="auto"/>
        <w:jc w:val="both"/>
      </w:pPr>
      <w:r w:rsidRPr="00F36418">
        <w:t>Sodyum hidroksit</w:t>
      </w:r>
      <w:r w:rsidR="00180DB0" w:rsidRPr="00F36418">
        <w:t xml:space="preserve"> (%10’luk çözelti)* </w:t>
      </w:r>
      <w:r w:rsidRPr="00F36418">
        <w:tab/>
      </w:r>
      <w:r w:rsidRPr="00F36418">
        <w:tab/>
      </w:r>
    </w:p>
    <w:p w:rsidR="00EA76D3" w:rsidRPr="00F36418" w:rsidRDefault="00EA76D3" w:rsidP="009A1B75">
      <w:pPr>
        <w:spacing w:line="276" w:lineRule="auto"/>
        <w:jc w:val="both"/>
      </w:pPr>
      <w:r w:rsidRPr="00F36418">
        <w:t xml:space="preserve">Etanolamin </w:t>
      </w:r>
      <w:r w:rsidRPr="00F36418">
        <w:tab/>
      </w:r>
      <w:r w:rsidRPr="00F36418">
        <w:tab/>
      </w:r>
      <w:r w:rsidRPr="00F36418">
        <w:tab/>
      </w:r>
    </w:p>
    <w:p w:rsidR="00EA76D3" w:rsidRPr="00F36418" w:rsidRDefault="00EA76D3" w:rsidP="009A1B75">
      <w:pPr>
        <w:spacing w:line="276" w:lineRule="auto"/>
        <w:jc w:val="both"/>
      </w:pPr>
      <w:r w:rsidRPr="00F36418">
        <w:t>Susuz etanol</w:t>
      </w:r>
      <w:r w:rsidRPr="00F36418">
        <w:tab/>
      </w:r>
      <w:r w:rsidRPr="00F36418">
        <w:tab/>
      </w:r>
      <w:r w:rsidRPr="00F36418">
        <w:tab/>
      </w:r>
    </w:p>
    <w:p w:rsidR="00180DB0" w:rsidRPr="00F36418" w:rsidRDefault="00DC7BEC" w:rsidP="009A1B75">
      <w:pPr>
        <w:spacing w:line="276" w:lineRule="auto"/>
        <w:jc w:val="both"/>
      </w:pPr>
      <w:r w:rsidRPr="00F36418">
        <w:t>Enjeksiyonluk su</w:t>
      </w:r>
      <w:r w:rsidRPr="00F36418">
        <w:tab/>
      </w:r>
    </w:p>
    <w:p w:rsidR="00DC7BEC" w:rsidRPr="00F36418" w:rsidRDefault="00180DB0" w:rsidP="009A1B75">
      <w:pPr>
        <w:spacing w:line="276" w:lineRule="auto"/>
        <w:jc w:val="both"/>
      </w:pPr>
      <w:r w:rsidRPr="00F36418">
        <w:t xml:space="preserve">* pH ayarı için kullanılır. </w:t>
      </w:r>
      <w:r w:rsidR="00DC7BEC" w:rsidRPr="00F36418">
        <w:tab/>
        <w:t xml:space="preserve">          </w:t>
      </w:r>
    </w:p>
    <w:p w:rsidR="008A1E76" w:rsidRPr="00F36418" w:rsidRDefault="008A1E76" w:rsidP="009A1B75">
      <w:pPr>
        <w:spacing w:line="276" w:lineRule="auto"/>
        <w:jc w:val="both"/>
        <w:rPr>
          <w:b/>
        </w:rPr>
      </w:pPr>
    </w:p>
    <w:p w:rsidR="008A1E76" w:rsidRPr="00F36418" w:rsidRDefault="008A1E76" w:rsidP="009A1B75">
      <w:pPr>
        <w:spacing w:line="276" w:lineRule="auto"/>
        <w:jc w:val="both"/>
        <w:rPr>
          <w:b/>
        </w:rPr>
      </w:pPr>
      <w:r w:rsidRPr="00F36418">
        <w:rPr>
          <w:b/>
        </w:rPr>
        <w:t>6.2. Geçimsizlikler</w:t>
      </w:r>
    </w:p>
    <w:p w:rsidR="008A1E76" w:rsidRPr="00F36418" w:rsidRDefault="008A1E76" w:rsidP="009A1B75">
      <w:pPr>
        <w:tabs>
          <w:tab w:val="left" w:pos="-1440"/>
          <w:tab w:val="left" w:pos="-720"/>
          <w:tab w:val="left" w:pos="284"/>
          <w:tab w:val="left" w:pos="709"/>
        </w:tabs>
        <w:suppressAutoHyphens/>
        <w:spacing w:line="276" w:lineRule="auto"/>
        <w:jc w:val="both"/>
        <w:rPr>
          <w:spacing w:val="-2"/>
        </w:rPr>
      </w:pPr>
      <w:r w:rsidRPr="00F36418">
        <w:rPr>
          <w:spacing w:val="-2"/>
        </w:rPr>
        <w:t>Yoktur</w:t>
      </w:r>
      <w:r w:rsidR="00E02A59" w:rsidRPr="00F36418">
        <w:rPr>
          <w:spacing w:val="-2"/>
        </w:rPr>
        <w:t>.</w:t>
      </w:r>
    </w:p>
    <w:p w:rsidR="008A1E76" w:rsidRPr="00F36418" w:rsidRDefault="008A1E76" w:rsidP="009A1B75">
      <w:pPr>
        <w:spacing w:line="276" w:lineRule="auto"/>
      </w:pPr>
    </w:p>
    <w:p w:rsidR="008A1E76" w:rsidRPr="00F36418" w:rsidRDefault="008A1E76" w:rsidP="009A1B75">
      <w:pPr>
        <w:spacing w:line="276" w:lineRule="auto"/>
        <w:jc w:val="both"/>
        <w:rPr>
          <w:b/>
        </w:rPr>
      </w:pPr>
      <w:r w:rsidRPr="00F36418">
        <w:rPr>
          <w:b/>
        </w:rPr>
        <w:t>6.3. Raf ömrü</w:t>
      </w:r>
    </w:p>
    <w:p w:rsidR="002E67EE" w:rsidRPr="00F36418" w:rsidRDefault="002E67EE" w:rsidP="002E67EE">
      <w:pPr>
        <w:tabs>
          <w:tab w:val="left" w:pos="-1440"/>
          <w:tab w:val="left" w:pos="-720"/>
          <w:tab w:val="left" w:pos="284"/>
          <w:tab w:val="left" w:pos="709"/>
          <w:tab w:val="left" w:pos="1152"/>
          <w:tab w:val="left" w:pos="1440"/>
        </w:tabs>
        <w:suppressAutoHyphens/>
        <w:spacing w:line="276" w:lineRule="auto"/>
        <w:ind w:left="284" w:hanging="284"/>
        <w:jc w:val="both"/>
        <w:rPr>
          <w:spacing w:val="-2"/>
        </w:rPr>
      </w:pPr>
      <w:r w:rsidRPr="00F36418">
        <w:rPr>
          <w:spacing w:val="-2"/>
        </w:rPr>
        <w:t>60 ay</w:t>
      </w:r>
    </w:p>
    <w:p w:rsidR="008A1E76" w:rsidRPr="00F36418" w:rsidRDefault="008A1E76" w:rsidP="009A1B75">
      <w:pPr>
        <w:spacing w:line="276" w:lineRule="auto"/>
        <w:jc w:val="both"/>
      </w:pPr>
    </w:p>
    <w:p w:rsidR="002E67EE" w:rsidRPr="00F36418" w:rsidRDefault="008A1E76" w:rsidP="002E67EE">
      <w:pPr>
        <w:spacing w:line="276" w:lineRule="auto"/>
        <w:jc w:val="both"/>
        <w:rPr>
          <w:b/>
        </w:rPr>
      </w:pPr>
      <w:r w:rsidRPr="00F36418">
        <w:rPr>
          <w:b/>
        </w:rPr>
        <w:t xml:space="preserve">6.4. Saklamaya yönelik özel </w:t>
      </w:r>
      <w:r w:rsidR="002E67EE" w:rsidRPr="00F36418">
        <w:rPr>
          <w:b/>
        </w:rPr>
        <w:t>tedbirler</w:t>
      </w:r>
    </w:p>
    <w:p w:rsidR="008A1E76" w:rsidRPr="00F36418" w:rsidRDefault="008A1E76" w:rsidP="002E67EE">
      <w:pPr>
        <w:spacing w:line="276" w:lineRule="auto"/>
        <w:jc w:val="both"/>
        <w:rPr>
          <w:b/>
          <w:spacing w:val="-2"/>
        </w:rPr>
      </w:pPr>
      <w:r w:rsidRPr="00F36418">
        <w:rPr>
          <w:spacing w:val="-2"/>
        </w:rPr>
        <w:t>30</w:t>
      </w:r>
      <w:r w:rsidRPr="00F36418">
        <w:rPr>
          <w:spacing w:val="-2"/>
          <w:vertAlign w:val="superscript"/>
        </w:rPr>
        <w:t>o</w:t>
      </w:r>
      <w:r w:rsidRPr="00F36418">
        <w:rPr>
          <w:spacing w:val="-2"/>
        </w:rPr>
        <w:t>C'nin altındaki oda sıcaklığında saklayınız.</w:t>
      </w:r>
      <w:r w:rsidR="00BB6394" w:rsidRPr="00F36418">
        <w:rPr>
          <w:spacing w:val="-2"/>
        </w:rPr>
        <w:t xml:space="preserve"> Işıktan koruyunuz.</w:t>
      </w:r>
    </w:p>
    <w:p w:rsidR="008A1E76" w:rsidRPr="00F36418" w:rsidRDefault="008A1E76" w:rsidP="009A1B75">
      <w:pPr>
        <w:spacing w:line="276" w:lineRule="auto"/>
        <w:jc w:val="both"/>
        <w:rPr>
          <w:b/>
        </w:rPr>
      </w:pPr>
    </w:p>
    <w:p w:rsidR="008A1E76" w:rsidRPr="00F36418" w:rsidRDefault="008A1E76" w:rsidP="009A1B75">
      <w:pPr>
        <w:spacing w:line="276" w:lineRule="auto"/>
        <w:jc w:val="both"/>
        <w:rPr>
          <w:b/>
        </w:rPr>
      </w:pPr>
      <w:r w:rsidRPr="00F36418">
        <w:rPr>
          <w:b/>
        </w:rPr>
        <w:t>6.5. Ambalajın niteliği ve içeriği</w:t>
      </w:r>
    </w:p>
    <w:p w:rsidR="008A1E76" w:rsidRPr="00F36418" w:rsidRDefault="00EA76D3" w:rsidP="009A1B75">
      <w:pPr>
        <w:spacing w:line="276" w:lineRule="auto"/>
      </w:pPr>
      <w:r w:rsidRPr="00F36418">
        <w:t>BACTRİM</w:t>
      </w:r>
      <w:r w:rsidR="00A4653C" w:rsidRPr="00F36418">
        <w:rPr>
          <w:spacing w:val="-2"/>
          <w:vertAlign w:val="superscript"/>
        </w:rPr>
        <w:t xml:space="preserve"> </w:t>
      </w:r>
      <w:r w:rsidRPr="00F36418">
        <w:t xml:space="preserve">400/80 mg İ.V. Enjektabl Çözelti İçeren Ampul, </w:t>
      </w:r>
      <w:r w:rsidR="00DC46F2" w:rsidRPr="00F36418">
        <w:rPr>
          <w:spacing w:val="-2"/>
        </w:rPr>
        <w:t>5 ml, 1 adet</w:t>
      </w:r>
    </w:p>
    <w:p w:rsidR="008A1E76" w:rsidRDefault="008A1E76" w:rsidP="009A1B75">
      <w:pPr>
        <w:spacing w:line="276" w:lineRule="auto"/>
        <w:jc w:val="both"/>
        <w:rPr>
          <w:b/>
          <w:bCs/>
        </w:rPr>
      </w:pPr>
    </w:p>
    <w:p w:rsidR="00A523BB" w:rsidRDefault="00A523BB" w:rsidP="009A1B75">
      <w:pPr>
        <w:spacing w:line="276" w:lineRule="auto"/>
        <w:jc w:val="both"/>
        <w:rPr>
          <w:b/>
          <w:bCs/>
        </w:rPr>
      </w:pPr>
    </w:p>
    <w:p w:rsidR="002F6A64" w:rsidRPr="00F36418" w:rsidRDefault="002F6A64" w:rsidP="009A1B75">
      <w:pPr>
        <w:spacing w:line="276" w:lineRule="auto"/>
        <w:jc w:val="both"/>
        <w:rPr>
          <w:b/>
          <w:bCs/>
        </w:rPr>
      </w:pPr>
    </w:p>
    <w:p w:rsidR="008A1E76" w:rsidRPr="00F36418" w:rsidRDefault="008A1E76" w:rsidP="009A1B75">
      <w:pPr>
        <w:spacing w:line="276" w:lineRule="auto"/>
        <w:jc w:val="both"/>
        <w:rPr>
          <w:b/>
        </w:rPr>
      </w:pPr>
      <w:r w:rsidRPr="00F36418">
        <w:rPr>
          <w:b/>
        </w:rPr>
        <w:t>6.6. Beşeri tıbbi üründen arta kalan maddelerin imhası ve diğer özel önlemler</w:t>
      </w:r>
    </w:p>
    <w:p w:rsidR="00BE5458" w:rsidRPr="00F36418" w:rsidRDefault="00BE5458" w:rsidP="009A1B75">
      <w:pPr>
        <w:tabs>
          <w:tab w:val="left" w:pos="426"/>
        </w:tabs>
        <w:spacing w:line="276" w:lineRule="auto"/>
        <w:jc w:val="both"/>
      </w:pPr>
      <w:r w:rsidRPr="00F36418">
        <w:t>‘T</w:t>
      </w:r>
      <w:r w:rsidRPr="00F36418">
        <w:rPr>
          <w:rFonts w:hint="eastAsia"/>
        </w:rPr>
        <w:t>ı</w:t>
      </w:r>
      <w:r w:rsidRPr="00F36418">
        <w:t>bbi at</w:t>
      </w:r>
      <w:r w:rsidRPr="00F36418">
        <w:rPr>
          <w:rFonts w:hint="eastAsia"/>
        </w:rPr>
        <w:t>ı</w:t>
      </w:r>
      <w:r w:rsidRPr="00F36418">
        <w:t>klar</w:t>
      </w:r>
      <w:r w:rsidRPr="00F36418">
        <w:rPr>
          <w:rFonts w:hint="eastAsia"/>
        </w:rPr>
        <w:t>ı</w:t>
      </w:r>
      <w:r w:rsidRPr="00F36418">
        <w:t>n kontrolü yönetmeli</w:t>
      </w:r>
      <w:r w:rsidRPr="00F36418">
        <w:rPr>
          <w:rFonts w:hint="eastAsia"/>
        </w:rPr>
        <w:t>ğ</w:t>
      </w:r>
      <w:r w:rsidRPr="00F36418">
        <w:t>i’ ve ‘Ambalaj ve Ambalaj At</w:t>
      </w:r>
      <w:r w:rsidRPr="00F36418">
        <w:rPr>
          <w:rFonts w:hint="eastAsia"/>
        </w:rPr>
        <w:t>ı</w:t>
      </w:r>
      <w:r w:rsidRPr="00F36418">
        <w:t>klar</w:t>
      </w:r>
      <w:r w:rsidRPr="00F36418">
        <w:rPr>
          <w:rFonts w:hint="eastAsia"/>
        </w:rPr>
        <w:t>ı</w:t>
      </w:r>
      <w:r w:rsidRPr="00F36418">
        <w:t>n</w:t>
      </w:r>
      <w:r w:rsidRPr="00F36418">
        <w:rPr>
          <w:rFonts w:hint="eastAsia"/>
        </w:rPr>
        <w:t>ı</w:t>
      </w:r>
      <w:r w:rsidRPr="00F36418">
        <w:t>n Kontrolü yönetmelikleri’ ne uygun olarak imha edilmelidir.</w:t>
      </w:r>
    </w:p>
    <w:p w:rsidR="006113B7" w:rsidRPr="00F36418" w:rsidRDefault="006113B7" w:rsidP="009A1B75">
      <w:pPr>
        <w:spacing w:line="276" w:lineRule="auto"/>
        <w:jc w:val="both"/>
      </w:pPr>
    </w:p>
    <w:p w:rsidR="00D46F54" w:rsidRPr="00F36418" w:rsidRDefault="00D46F54" w:rsidP="009A1B75">
      <w:pPr>
        <w:spacing w:line="276" w:lineRule="auto"/>
        <w:jc w:val="both"/>
      </w:pPr>
    </w:p>
    <w:p w:rsidR="00A43771" w:rsidRPr="00F36418" w:rsidRDefault="00A43771" w:rsidP="009A1B75">
      <w:pPr>
        <w:spacing w:line="276" w:lineRule="auto"/>
        <w:jc w:val="both"/>
      </w:pPr>
    </w:p>
    <w:p w:rsidR="008A1E76" w:rsidRPr="00F36418" w:rsidRDefault="008A1E76" w:rsidP="009A1B75">
      <w:pPr>
        <w:spacing w:line="276" w:lineRule="auto"/>
        <w:jc w:val="both"/>
        <w:rPr>
          <w:b/>
        </w:rPr>
      </w:pPr>
      <w:r w:rsidRPr="00F36418">
        <w:rPr>
          <w:b/>
        </w:rPr>
        <w:t>7. RUHSAT SAHİBİ</w:t>
      </w:r>
    </w:p>
    <w:p w:rsidR="008A1E76" w:rsidRPr="00F36418" w:rsidRDefault="008A1E76" w:rsidP="009A1B75">
      <w:pPr>
        <w:spacing w:line="276" w:lineRule="auto"/>
        <w:jc w:val="both"/>
      </w:pPr>
      <w:r w:rsidRPr="00F36418">
        <w:t xml:space="preserve">Deva Holding A.Ş. </w:t>
      </w:r>
    </w:p>
    <w:p w:rsidR="008A1E76" w:rsidRPr="00F36418" w:rsidRDefault="008A1E76" w:rsidP="009A1B75">
      <w:pPr>
        <w:spacing w:line="276" w:lineRule="auto"/>
        <w:jc w:val="both"/>
      </w:pPr>
      <w:r w:rsidRPr="00F36418">
        <w:t>Halkalı Merkez Mah. Basın Ek</w:t>
      </w:r>
      <w:r w:rsidR="00180DB0" w:rsidRPr="00F36418">
        <w:t>s</w:t>
      </w:r>
      <w:r w:rsidRPr="00F36418">
        <w:t xml:space="preserve">pres Cad. </w:t>
      </w:r>
      <w:r w:rsidR="006F3590" w:rsidRPr="00F36418">
        <w:t xml:space="preserve">No:1 </w:t>
      </w:r>
      <w:r w:rsidRPr="00F36418">
        <w:t xml:space="preserve">34303 </w:t>
      </w:r>
    </w:p>
    <w:p w:rsidR="008A1E76" w:rsidRPr="00F36418" w:rsidRDefault="008A1E76" w:rsidP="009A1B75">
      <w:pPr>
        <w:spacing w:line="276" w:lineRule="auto"/>
        <w:jc w:val="both"/>
      </w:pPr>
      <w:r w:rsidRPr="00F36418">
        <w:t>Küçükçekmece/İSTANBUL</w:t>
      </w:r>
    </w:p>
    <w:p w:rsidR="008A1E76" w:rsidRPr="00F36418" w:rsidRDefault="006113B7" w:rsidP="009A1B75">
      <w:pPr>
        <w:spacing w:line="276" w:lineRule="auto"/>
        <w:jc w:val="both"/>
      </w:pPr>
      <w:r w:rsidRPr="00F36418">
        <w:t>Tel</w:t>
      </w:r>
      <w:r w:rsidR="008A1E76" w:rsidRPr="00F36418">
        <w:t>: 0212 692 92 92</w:t>
      </w:r>
    </w:p>
    <w:p w:rsidR="008A1E76" w:rsidRPr="00F36418" w:rsidRDefault="006113B7" w:rsidP="009A1B75">
      <w:pPr>
        <w:spacing w:line="276" w:lineRule="auto"/>
        <w:jc w:val="both"/>
      </w:pPr>
      <w:r w:rsidRPr="00F36418">
        <w:t>Faks</w:t>
      </w:r>
      <w:r w:rsidR="008A1E76" w:rsidRPr="00F36418">
        <w:t>: 0212 697 00 24</w:t>
      </w:r>
    </w:p>
    <w:p w:rsidR="008A1E76" w:rsidRPr="00F36418" w:rsidRDefault="008A1E76" w:rsidP="009A1B75">
      <w:pPr>
        <w:spacing w:line="276" w:lineRule="auto"/>
        <w:jc w:val="both"/>
        <w:rPr>
          <w:b/>
        </w:rPr>
      </w:pPr>
    </w:p>
    <w:p w:rsidR="009A1B75" w:rsidRPr="00F36418" w:rsidRDefault="008A1E76" w:rsidP="009A1B75">
      <w:pPr>
        <w:spacing w:line="276" w:lineRule="auto"/>
        <w:jc w:val="both"/>
        <w:rPr>
          <w:b/>
        </w:rPr>
      </w:pPr>
      <w:r w:rsidRPr="00F36418">
        <w:rPr>
          <w:b/>
        </w:rPr>
        <w:t>8. RUHSAT NUMARASI</w:t>
      </w:r>
    </w:p>
    <w:p w:rsidR="00BB6394" w:rsidRPr="00F36418" w:rsidRDefault="00BB6394" w:rsidP="009A1B75">
      <w:pPr>
        <w:spacing w:line="276" w:lineRule="auto"/>
        <w:jc w:val="both"/>
        <w:rPr>
          <w:b/>
        </w:rPr>
      </w:pPr>
      <w:r w:rsidRPr="00F36418">
        <w:t>223/44</w:t>
      </w:r>
    </w:p>
    <w:p w:rsidR="002E67EE" w:rsidRPr="00F36418" w:rsidRDefault="002E67EE" w:rsidP="009A1B75">
      <w:pPr>
        <w:spacing w:line="276" w:lineRule="auto"/>
        <w:jc w:val="both"/>
        <w:rPr>
          <w:b/>
        </w:rPr>
      </w:pPr>
    </w:p>
    <w:p w:rsidR="008A1E76" w:rsidRPr="00F36418" w:rsidRDefault="008A1E76" w:rsidP="009A1B75">
      <w:pPr>
        <w:spacing w:line="276" w:lineRule="auto"/>
        <w:jc w:val="both"/>
        <w:rPr>
          <w:b/>
        </w:rPr>
      </w:pPr>
      <w:r w:rsidRPr="00F36418">
        <w:rPr>
          <w:b/>
        </w:rPr>
        <w:t>9. İLK RUHSAT TARİHİ/RUHSAT YENİLEME TARİHİ</w:t>
      </w:r>
    </w:p>
    <w:p w:rsidR="00E02A59" w:rsidRPr="00F36418" w:rsidRDefault="00BB6394" w:rsidP="009A1B75">
      <w:pPr>
        <w:spacing w:line="276" w:lineRule="auto"/>
        <w:jc w:val="both"/>
      </w:pPr>
      <w:r w:rsidRPr="00F36418">
        <w:t>01.02.2010</w:t>
      </w:r>
    </w:p>
    <w:p w:rsidR="00BB6394" w:rsidRPr="00F36418" w:rsidRDefault="00BB6394" w:rsidP="009A1B75">
      <w:pPr>
        <w:spacing w:line="276" w:lineRule="auto"/>
        <w:jc w:val="both"/>
        <w:rPr>
          <w:b/>
        </w:rPr>
      </w:pPr>
    </w:p>
    <w:p w:rsidR="008A1E76" w:rsidRPr="00F36418" w:rsidRDefault="008A1E76" w:rsidP="009A1B75">
      <w:pPr>
        <w:spacing w:line="276" w:lineRule="auto"/>
        <w:jc w:val="both"/>
        <w:rPr>
          <w:b/>
        </w:rPr>
      </w:pPr>
      <w:r w:rsidRPr="00F36418">
        <w:rPr>
          <w:b/>
        </w:rPr>
        <w:t xml:space="preserve">10. </w:t>
      </w:r>
      <w:r w:rsidR="009A1B75" w:rsidRPr="00F36418">
        <w:rPr>
          <w:b/>
        </w:rPr>
        <w:t xml:space="preserve">KÜB’ÜN </w:t>
      </w:r>
      <w:r w:rsidRPr="00F36418">
        <w:rPr>
          <w:b/>
        </w:rPr>
        <w:t>YENİLENME TARİHİ</w:t>
      </w:r>
    </w:p>
    <w:p w:rsidR="0053222E" w:rsidRPr="00F36418" w:rsidRDefault="0053222E" w:rsidP="009A1B75">
      <w:pPr>
        <w:spacing w:line="276" w:lineRule="auto"/>
      </w:pPr>
    </w:p>
    <w:sectPr w:rsidR="0053222E" w:rsidRPr="00F36418" w:rsidSect="004370D1">
      <w:footerReference w:type="even" r:id="rId8"/>
      <w:footerReference w:type="default" r:id="rId9"/>
      <w:pgSz w:w="11906" w:h="16838"/>
      <w:pgMar w:top="1417" w:right="1416"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94" w:rsidRDefault="00C73294" w:rsidP="00630748">
      <w:r>
        <w:separator/>
      </w:r>
    </w:p>
  </w:endnote>
  <w:endnote w:type="continuationSeparator" w:id="0">
    <w:p w:rsidR="00C73294" w:rsidRDefault="00C73294" w:rsidP="00630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0F" w:rsidRDefault="00A02A0F" w:rsidP="00A364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2A0F" w:rsidRDefault="00A02A0F" w:rsidP="00A364B2">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2454"/>
      <w:docPartObj>
        <w:docPartGallery w:val="Page Numbers (Bottom of Page)"/>
        <w:docPartUnique/>
      </w:docPartObj>
    </w:sdtPr>
    <w:sdtContent>
      <w:p w:rsidR="00A02A0F" w:rsidRDefault="00A02A0F">
        <w:pPr>
          <w:pStyle w:val="Altbilgi"/>
          <w:jc w:val="right"/>
        </w:pPr>
        <w:fldSimple w:instr=" PAGE   \* MERGEFORMAT ">
          <w:r w:rsidR="00B7054E">
            <w:rPr>
              <w:noProof/>
            </w:rPr>
            <w:t>11</w:t>
          </w:r>
        </w:fldSimple>
      </w:p>
    </w:sdtContent>
  </w:sdt>
  <w:p w:rsidR="00A02A0F" w:rsidRDefault="00A02A0F" w:rsidP="00A364B2">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94" w:rsidRDefault="00C73294" w:rsidP="00630748">
      <w:r>
        <w:separator/>
      </w:r>
    </w:p>
  </w:footnote>
  <w:footnote w:type="continuationSeparator" w:id="0">
    <w:p w:rsidR="00C73294" w:rsidRDefault="00C73294" w:rsidP="00630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6AC5"/>
    <w:multiLevelType w:val="hybridMultilevel"/>
    <w:tmpl w:val="85825DE4"/>
    <w:lvl w:ilvl="0" w:tplc="B56C8044">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390265"/>
    <w:multiLevelType w:val="multilevel"/>
    <w:tmpl w:val="36A848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8387E1D"/>
    <w:multiLevelType w:val="hybridMultilevel"/>
    <w:tmpl w:val="437C6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5340D29"/>
    <w:multiLevelType w:val="hybridMultilevel"/>
    <w:tmpl w:val="DED89856"/>
    <w:lvl w:ilvl="0" w:tplc="348402E8">
      <w:start w:val="15"/>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8440A92"/>
    <w:multiLevelType w:val="hybridMultilevel"/>
    <w:tmpl w:val="01EE6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1E76"/>
    <w:rsid w:val="00052E77"/>
    <w:rsid w:val="00073B1E"/>
    <w:rsid w:val="0008134E"/>
    <w:rsid w:val="000B62A8"/>
    <w:rsid w:val="00112988"/>
    <w:rsid w:val="00123B02"/>
    <w:rsid w:val="00124E14"/>
    <w:rsid w:val="00125EA4"/>
    <w:rsid w:val="00180DB0"/>
    <w:rsid w:val="00186EDF"/>
    <w:rsid w:val="00204118"/>
    <w:rsid w:val="00244CA8"/>
    <w:rsid w:val="00286369"/>
    <w:rsid w:val="002E67EE"/>
    <w:rsid w:val="002F6A64"/>
    <w:rsid w:val="00300EE5"/>
    <w:rsid w:val="00302741"/>
    <w:rsid w:val="0030711F"/>
    <w:rsid w:val="00376B13"/>
    <w:rsid w:val="003871E2"/>
    <w:rsid w:val="00391B52"/>
    <w:rsid w:val="00393341"/>
    <w:rsid w:val="003D57C2"/>
    <w:rsid w:val="00414D74"/>
    <w:rsid w:val="00423AB7"/>
    <w:rsid w:val="00426C5C"/>
    <w:rsid w:val="004370D1"/>
    <w:rsid w:val="00442A04"/>
    <w:rsid w:val="00476439"/>
    <w:rsid w:val="004B556F"/>
    <w:rsid w:val="004C0517"/>
    <w:rsid w:val="00506AE3"/>
    <w:rsid w:val="00515807"/>
    <w:rsid w:val="005175A9"/>
    <w:rsid w:val="00531EF0"/>
    <w:rsid w:val="0053222E"/>
    <w:rsid w:val="005454BC"/>
    <w:rsid w:val="005522D0"/>
    <w:rsid w:val="00582858"/>
    <w:rsid w:val="0058390B"/>
    <w:rsid w:val="005E0A53"/>
    <w:rsid w:val="005E0D8B"/>
    <w:rsid w:val="006113B7"/>
    <w:rsid w:val="006140DA"/>
    <w:rsid w:val="00630748"/>
    <w:rsid w:val="00631C2D"/>
    <w:rsid w:val="006345FD"/>
    <w:rsid w:val="006754C0"/>
    <w:rsid w:val="00683B1E"/>
    <w:rsid w:val="006846A8"/>
    <w:rsid w:val="006D0DF9"/>
    <w:rsid w:val="006F3590"/>
    <w:rsid w:val="0070391C"/>
    <w:rsid w:val="007135CB"/>
    <w:rsid w:val="00713CA7"/>
    <w:rsid w:val="00720D8E"/>
    <w:rsid w:val="00750FE3"/>
    <w:rsid w:val="00780C52"/>
    <w:rsid w:val="007963DA"/>
    <w:rsid w:val="007A575B"/>
    <w:rsid w:val="007B2566"/>
    <w:rsid w:val="007F53C2"/>
    <w:rsid w:val="008168DA"/>
    <w:rsid w:val="008441F6"/>
    <w:rsid w:val="008555B4"/>
    <w:rsid w:val="00856438"/>
    <w:rsid w:val="008614C1"/>
    <w:rsid w:val="00872FDA"/>
    <w:rsid w:val="00873AF7"/>
    <w:rsid w:val="008A1E76"/>
    <w:rsid w:val="008C161F"/>
    <w:rsid w:val="008D5FDF"/>
    <w:rsid w:val="008E4831"/>
    <w:rsid w:val="008F0DD8"/>
    <w:rsid w:val="00917F8E"/>
    <w:rsid w:val="00922DFF"/>
    <w:rsid w:val="00930665"/>
    <w:rsid w:val="00987D4A"/>
    <w:rsid w:val="009A1B75"/>
    <w:rsid w:val="00A02A0F"/>
    <w:rsid w:val="00A26026"/>
    <w:rsid w:val="00A364B2"/>
    <w:rsid w:val="00A43771"/>
    <w:rsid w:val="00A4653C"/>
    <w:rsid w:val="00A523BB"/>
    <w:rsid w:val="00A851D7"/>
    <w:rsid w:val="00AB6AE2"/>
    <w:rsid w:val="00AF7292"/>
    <w:rsid w:val="00B34C5B"/>
    <w:rsid w:val="00B55A58"/>
    <w:rsid w:val="00B7054E"/>
    <w:rsid w:val="00B75851"/>
    <w:rsid w:val="00B75D5E"/>
    <w:rsid w:val="00BB6394"/>
    <w:rsid w:val="00BD28D4"/>
    <w:rsid w:val="00BD67B4"/>
    <w:rsid w:val="00BE5458"/>
    <w:rsid w:val="00BE61F7"/>
    <w:rsid w:val="00BF07A5"/>
    <w:rsid w:val="00BF5627"/>
    <w:rsid w:val="00C07C3C"/>
    <w:rsid w:val="00C33DAE"/>
    <w:rsid w:val="00C61896"/>
    <w:rsid w:val="00C73294"/>
    <w:rsid w:val="00C73BE2"/>
    <w:rsid w:val="00CA663E"/>
    <w:rsid w:val="00CD1D7F"/>
    <w:rsid w:val="00D03F2A"/>
    <w:rsid w:val="00D46F54"/>
    <w:rsid w:val="00D879A3"/>
    <w:rsid w:val="00DA485B"/>
    <w:rsid w:val="00DC46F2"/>
    <w:rsid w:val="00DC5F97"/>
    <w:rsid w:val="00DC7BEC"/>
    <w:rsid w:val="00DF4CE9"/>
    <w:rsid w:val="00E02A59"/>
    <w:rsid w:val="00E14608"/>
    <w:rsid w:val="00E229C6"/>
    <w:rsid w:val="00E46040"/>
    <w:rsid w:val="00E50C19"/>
    <w:rsid w:val="00EA0E0A"/>
    <w:rsid w:val="00EA76D3"/>
    <w:rsid w:val="00EB15B5"/>
    <w:rsid w:val="00EC7732"/>
    <w:rsid w:val="00ED0392"/>
    <w:rsid w:val="00EE45AC"/>
    <w:rsid w:val="00F064FC"/>
    <w:rsid w:val="00F114CC"/>
    <w:rsid w:val="00F35915"/>
    <w:rsid w:val="00F36418"/>
    <w:rsid w:val="00F56D53"/>
    <w:rsid w:val="00F642AE"/>
    <w:rsid w:val="00F81FD8"/>
    <w:rsid w:val="00FB26E2"/>
    <w:rsid w:val="00FB4694"/>
    <w:rsid w:val="00FD7DB3"/>
    <w:rsid w:val="00FE5A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76"/>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A1E76"/>
    <w:pPr>
      <w:tabs>
        <w:tab w:val="center" w:pos="4536"/>
        <w:tab w:val="right" w:pos="9072"/>
      </w:tabs>
    </w:pPr>
  </w:style>
  <w:style w:type="character" w:customStyle="1" w:styleId="AltbilgiChar">
    <w:name w:val="Altbilgi Char"/>
    <w:basedOn w:val="VarsaylanParagrafYazTipi"/>
    <w:link w:val="Altbilgi"/>
    <w:uiPriority w:val="99"/>
    <w:rsid w:val="008A1E76"/>
    <w:rPr>
      <w:rFonts w:ascii="Times New Roman" w:eastAsia="MS Mincho" w:hAnsi="Times New Roman" w:cs="Times New Roman"/>
      <w:sz w:val="24"/>
      <w:szCs w:val="24"/>
      <w:lang w:eastAsia="ja-JP"/>
    </w:rPr>
  </w:style>
  <w:style w:type="character" w:styleId="SayfaNumaras">
    <w:name w:val="page number"/>
    <w:basedOn w:val="VarsaylanParagrafYazTipi"/>
    <w:rsid w:val="008A1E76"/>
  </w:style>
  <w:style w:type="paragraph" w:styleId="ListeParagraf">
    <w:name w:val="List Paragraph"/>
    <w:basedOn w:val="Normal"/>
    <w:uiPriority w:val="34"/>
    <w:qFormat/>
    <w:rsid w:val="008A1E76"/>
    <w:pPr>
      <w:ind w:left="720"/>
      <w:contextualSpacing/>
    </w:pPr>
  </w:style>
  <w:style w:type="paragraph" w:customStyle="1" w:styleId="ListeParagraf1">
    <w:name w:val="Liste Paragraf1"/>
    <w:basedOn w:val="Normal"/>
    <w:uiPriority w:val="34"/>
    <w:qFormat/>
    <w:rsid w:val="008A1E76"/>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A1E76"/>
    <w:rPr>
      <w:rFonts w:ascii="Tahoma" w:hAnsi="Tahoma" w:cs="Tahoma"/>
      <w:sz w:val="16"/>
      <w:szCs w:val="16"/>
    </w:rPr>
  </w:style>
  <w:style w:type="character" w:customStyle="1" w:styleId="BalonMetniChar">
    <w:name w:val="Balon Metni Char"/>
    <w:basedOn w:val="VarsaylanParagrafYazTipi"/>
    <w:link w:val="BalonMetni"/>
    <w:uiPriority w:val="99"/>
    <w:semiHidden/>
    <w:rsid w:val="008A1E76"/>
    <w:rPr>
      <w:rFonts w:ascii="Tahoma" w:eastAsia="MS Mincho" w:hAnsi="Tahoma" w:cs="Tahoma"/>
      <w:sz w:val="16"/>
      <w:szCs w:val="16"/>
      <w:lang w:eastAsia="ja-JP"/>
    </w:rPr>
  </w:style>
  <w:style w:type="paragraph" w:styleId="stbilgi">
    <w:name w:val="header"/>
    <w:basedOn w:val="Normal"/>
    <w:link w:val="stbilgiChar"/>
    <w:uiPriority w:val="99"/>
    <w:semiHidden/>
    <w:unhideWhenUsed/>
    <w:rsid w:val="004370D1"/>
    <w:pPr>
      <w:tabs>
        <w:tab w:val="center" w:pos="4536"/>
        <w:tab w:val="right" w:pos="9072"/>
      </w:tabs>
    </w:pPr>
  </w:style>
  <w:style w:type="character" w:customStyle="1" w:styleId="stbilgiChar">
    <w:name w:val="Üstbilgi Char"/>
    <w:basedOn w:val="VarsaylanParagrafYazTipi"/>
    <w:link w:val="stbilgi"/>
    <w:uiPriority w:val="99"/>
    <w:semiHidden/>
    <w:rsid w:val="004370D1"/>
    <w:rPr>
      <w:rFonts w:ascii="Times New Roman" w:eastAsia="MS Mincho" w:hAnsi="Times New Roman" w:cs="Times New Roman"/>
      <w:sz w:val="24"/>
      <w:szCs w:val="24"/>
      <w:lang w:eastAsia="ja-JP"/>
    </w:rPr>
  </w:style>
  <w:style w:type="table" w:styleId="TabloKlavuzu">
    <w:name w:val="Table Grid"/>
    <w:basedOn w:val="NormalTablo"/>
    <w:uiPriority w:val="59"/>
    <w:rsid w:val="008C1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67E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hps">
    <w:name w:val="hps"/>
    <w:basedOn w:val="VarsaylanParagrafYazTipi"/>
    <w:rsid w:val="002E67EE"/>
  </w:style>
</w:styles>
</file>

<file path=word/webSettings.xml><?xml version="1.0" encoding="utf-8"?>
<w:webSettings xmlns:r="http://schemas.openxmlformats.org/officeDocument/2006/relationships" xmlns:w="http://schemas.openxmlformats.org/wordprocessingml/2006/main">
  <w:divs>
    <w:div w:id="852764151">
      <w:bodyDiv w:val="1"/>
      <w:marLeft w:val="0"/>
      <w:marRight w:val="0"/>
      <w:marTop w:val="0"/>
      <w:marBottom w:val="0"/>
      <w:divBdr>
        <w:top w:val="none" w:sz="0" w:space="0" w:color="auto"/>
        <w:left w:val="none" w:sz="0" w:space="0" w:color="auto"/>
        <w:bottom w:val="none" w:sz="0" w:space="0" w:color="auto"/>
        <w:right w:val="none" w:sz="0" w:space="0" w:color="auto"/>
      </w:divBdr>
    </w:div>
    <w:div w:id="12195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56AC-24A4-4720-9EB2-282C17B8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4472</Words>
  <Characters>25493</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Deva Holding A.S.</Company>
  <LinksUpToDate>false</LinksUpToDate>
  <CharactersWithSpaces>29906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dc:creator>
  <cp:keywords/>
  <dc:description/>
  <cp:lastModifiedBy>esecgel</cp:lastModifiedBy>
  <cp:revision>3</cp:revision>
  <cp:lastPrinted>2014-09-26T06:51:00Z</cp:lastPrinted>
  <dcterms:created xsi:type="dcterms:W3CDTF">2015-02-05T13:15:00Z</dcterms:created>
  <dcterms:modified xsi:type="dcterms:W3CDTF">2015-02-05T14:50:00Z</dcterms:modified>
</cp:coreProperties>
</file>