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6" w:rsidRPr="00E82B2D" w:rsidRDefault="00E562F6" w:rsidP="0070713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KISA ÜRÜN BİLGİSİ</w:t>
      </w:r>
    </w:p>
    <w:p w:rsidR="00933494" w:rsidRPr="00E82B2D" w:rsidRDefault="00933494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62F6" w:rsidRPr="00E82B2D" w:rsidRDefault="00E562F6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BEŞERİ TIBBİ ÜRÜNÜN ADI</w:t>
      </w:r>
    </w:p>
    <w:p w:rsidR="00933494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9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9"/>
          <w:sz w:val="24"/>
          <w:szCs w:val="24"/>
          <w:vertAlign w:val="superscript"/>
        </w:rPr>
        <w:t>®</w:t>
      </w:r>
      <w:r w:rsidRPr="00E82B2D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1269BC" w:rsidRPr="00E82B2D">
        <w:rPr>
          <w:rFonts w:ascii="Times New Roman" w:hAnsi="Times New Roman"/>
          <w:color w:val="000000" w:themeColor="text1"/>
          <w:spacing w:val="-7"/>
          <w:sz w:val="24"/>
          <w:szCs w:val="24"/>
        </w:rPr>
        <w:t>125</w:t>
      </w:r>
      <w:r w:rsidRPr="00E82B2D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mg tablet</w:t>
      </w:r>
    </w:p>
    <w:p w:rsidR="00933494" w:rsidRPr="00E82B2D" w:rsidRDefault="00933494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62F6" w:rsidRPr="00E82B2D" w:rsidRDefault="00E562F6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KALİTATİF VE KANTİTATİF BİLEŞİM</w:t>
      </w:r>
    </w:p>
    <w:p w:rsidR="00E562F6" w:rsidRPr="00E82B2D" w:rsidRDefault="00E535B9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Herbir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MADOPAR</w:t>
      </w:r>
      <w:r w:rsidR="005C38C7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125 mg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tablet; </w:t>
      </w:r>
    </w:p>
    <w:p w:rsidR="00E562F6" w:rsidRPr="00E82B2D" w:rsidRDefault="00E562F6" w:rsidP="00707138">
      <w:pPr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Etkin madde: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:rsidR="00E562F6" w:rsidRPr="00E82B2D" w:rsidRDefault="00E562F6" w:rsidP="00707138">
      <w:pPr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100.00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mg</w:t>
      </w:r>
    </w:p>
    <w:p w:rsidR="00E562F6" w:rsidRPr="00E82B2D" w:rsidRDefault="00A64DB9" w:rsidP="00707138">
      <w:pPr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hidroklorür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 xml:space="preserve">25 mg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benserazide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eşdeğer miktarda</w:t>
      </w:r>
    </w:p>
    <w:p w:rsidR="00E562F6" w:rsidRPr="00E82B2D" w:rsidRDefault="00E562F6" w:rsidP="00707138">
      <w:pPr>
        <w:spacing w:line="360" w:lineRule="auto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Yardımcı </w:t>
      </w:r>
      <w:proofErr w:type="gram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maddeler :</w:t>
      </w:r>
      <w:proofErr w:type="gramEnd"/>
    </w:p>
    <w:p w:rsidR="00E562F6" w:rsidRPr="00E82B2D" w:rsidRDefault="00E562F6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Mannitol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51.60 mg</w:t>
      </w:r>
    </w:p>
    <w:p w:rsidR="00E562F6" w:rsidRPr="00E82B2D" w:rsidRDefault="00E562F6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Diğer yardımcı maddeler için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6.1’e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bakınız.</w:t>
      </w:r>
    </w:p>
    <w:p w:rsidR="00933494" w:rsidRPr="00E82B2D" w:rsidRDefault="00933494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11D1" w:rsidRPr="00E82B2D" w:rsidRDefault="00933494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FARMASÖTİK </w:t>
      </w:r>
      <w:r w:rsidR="00E562F6" w:rsidRPr="00E82B2D">
        <w:rPr>
          <w:rFonts w:ascii="Times New Roman" w:hAnsi="Times New Roman"/>
          <w:b/>
          <w:color w:val="000000" w:themeColor="text1"/>
          <w:sz w:val="24"/>
          <w:szCs w:val="24"/>
        </w:rPr>
        <w:t>FORM</w:t>
      </w:r>
    </w:p>
    <w:p w:rsidR="00E562F6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Tablet</w:t>
      </w:r>
    </w:p>
    <w:p w:rsidR="00E562F6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7138" w:rsidRPr="00E82B2D" w:rsidRDefault="00934595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KLİNİK ÖZELLİKLER</w:t>
      </w:r>
    </w:p>
    <w:p w:rsidR="00933494" w:rsidRPr="00E82B2D" w:rsidRDefault="00934595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4.1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Endikasyonlar</w:t>
      </w:r>
      <w:proofErr w:type="spellEnd"/>
    </w:p>
    <w:p w:rsidR="00E562F6" w:rsidRPr="00E82B2D" w:rsidRDefault="00E562F6" w:rsidP="00707138">
      <w:pPr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parkinson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hastalarının tedavisinde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endikedir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707138" w:rsidRPr="00E82B2D" w:rsidRDefault="00707138" w:rsidP="00707138">
      <w:pPr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E562F6" w:rsidRPr="00E82B2D" w:rsidRDefault="00E562F6" w:rsidP="00707138">
      <w:pPr>
        <w:spacing w:line="360" w:lineRule="auto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4.2.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Pozoloji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ve uygulama şekli</w:t>
      </w:r>
    </w:p>
    <w:p w:rsidR="00E562F6" w:rsidRPr="00E82B2D" w:rsidRDefault="00E562F6" w:rsidP="00707138">
      <w:pPr>
        <w:spacing w:line="360" w:lineRule="auto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Pozoloji</w:t>
      </w:r>
      <w:proofErr w:type="spellEnd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/uygulama sıklığı ve süresi: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Doktor tarafından başka şekilde tavsiye edilmediği takdirde;</w:t>
      </w:r>
    </w:p>
    <w:p w:rsidR="001269BC" w:rsidRPr="00E82B2D" w:rsidRDefault="00E562F6" w:rsidP="00707138">
      <w:pPr>
        <w:spacing w:line="360" w:lineRule="auto"/>
        <w:jc w:val="both"/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Standart doz:</w:t>
      </w:r>
    </w:p>
    <w:p w:rsidR="001269BC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ile tedaviye kademeli olarak başlanmalı, doz bireysel olarak saptanmalı ve </w:t>
      </w:r>
      <w:proofErr w:type="gram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optimal</w:t>
      </w:r>
      <w:proofErr w:type="gram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etki için titre edilmelidir. Aşağıdaki doz uygulamaları, bu konuda yol gösterici olarak kabul edilebilir:</w:t>
      </w:r>
    </w:p>
    <w:p w:rsidR="00A64DB9" w:rsidRPr="00E82B2D" w:rsidRDefault="001269BC" w:rsidP="00707138">
      <w:pPr>
        <w:spacing w:line="360" w:lineRule="auto"/>
        <w:jc w:val="both"/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Başlangıç tedavisi</w:t>
      </w:r>
      <w:r w:rsidR="00A64DB9" w:rsidRPr="00E82B2D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:</w:t>
      </w:r>
    </w:p>
    <w:p w:rsidR="003F2BAD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  <w:sectPr w:rsidR="003F2BAD" w:rsidRPr="00E82B2D" w:rsidSect="003C2B60">
          <w:footerReference w:type="even" r:id="rId8"/>
          <w:footerReference w:type="default" r:id="rId9"/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pgNumType w:start="1"/>
          <w:cols w:space="720"/>
          <w:noEndnote/>
          <w:docGrid w:linePitch="360"/>
        </w:sect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Parkinsonizmin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erken evrelerinde, günde 3-4 kez yarım tablet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125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ile tedaviye başlamak önerilir. Başlangıçtaki doz programının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tolere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edilebilirliği onaylandığı zaman, hastanın cevabına göre doz yavaş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yavaş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artırılmalıdır. Optimal etkiye, genellikle 300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noBreakHyphen/>
        <w:t xml:space="preserve">800 mg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FE3681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ve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75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noBreakHyphen/>
        <w:t xml:space="preserve">200 mg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benserazide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karşılık gelen günlük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dozu </w:t>
      </w:r>
    </w:p>
    <w:p w:rsidR="00FE3681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ile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ulaşılır ve bu doz, 3 veya daha fazla doza bölünebilir.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Optimal  etki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elde etmek için 4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noBreakHyphen/>
        <w:t>6 haftaya ihtiyaç vardır. Eğer günlük dozun daha da artırılması gerekirse, bu ayda bir yapılmalıdır.</w:t>
      </w:r>
    </w:p>
    <w:p w:rsidR="001269BC" w:rsidRPr="00E82B2D" w:rsidRDefault="00FE3681" w:rsidP="00707138">
      <w:pPr>
        <w:spacing w:line="360" w:lineRule="auto"/>
        <w:jc w:val="both"/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İdame tedavisi:</w:t>
      </w:r>
    </w:p>
    <w:p w:rsidR="00FE3681" w:rsidRPr="00E82B2D" w:rsidRDefault="001269BC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Ortalama idame dozu, günde 3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noBreakHyphen/>
        <w:t xml:space="preserve">6 kez 1 adet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125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mg  tablettir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. </w:t>
      </w:r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Üçten az olmamak şartıyla doz sayısı ve bunların gün içinde dağılımları </w:t>
      </w:r>
      <w:proofErr w:type="gramStart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>optimal</w:t>
      </w:r>
      <w:proofErr w:type="gramEnd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 için bireysel gereksinimlere göre ayarlanmalıdır. Optimal etki için, MADOPAR HBS standart MADOPAR tabletin yerine geçebilir.</w:t>
      </w:r>
    </w:p>
    <w:p w:rsidR="00FE3681" w:rsidRPr="00E82B2D" w:rsidRDefault="00FE3681" w:rsidP="00707138">
      <w:pPr>
        <w:spacing w:line="360" w:lineRule="auto"/>
        <w:jc w:val="both"/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i/>
          <w:color w:val="000000" w:themeColor="text1"/>
          <w:spacing w:val="-2"/>
          <w:sz w:val="24"/>
          <w:szCs w:val="24"/>
        </w:rPr>
        <w:t>Özel doz talimatları: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Diğer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antiparkinson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ilaçları kullanan hastalar,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alabilirler. Bununla beraber,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ile tedavi ilerledikçe ve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etki belirginleştikçe, diğer ilaçların dozajları azaltılmalı veya bu ilaçlar kademeli olarak bırakılmalıdır.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Gün boyunca ilacın etkisinde büyük dalgalanmalar (‘on-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off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’ fenomeni) yaşayan hastalar, düşük ve daha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sık  tek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dozlar almalı veya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HBS’ye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geçmelidirler.</w:t>
      </w:r>
    </w:p>
    <w:p w:rsidR="001269BC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tabletten 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proofErr w:type="gram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HBS’ye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geçiş, tercihen sabah dozu ile başlayarak bir günden diğerine yapılır. Günlük doz ve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dozlama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aralıkları başlangıçta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tablet ile aynı olmalıdır.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2-3 gün sonra, doz kademeli olarak yaklaşık % 50 artırılmalıdır. Hastalar durumlarının geçici olarak bozulabileceği hakkında bilgilendirilmelidir. </w:t>
      </w:r>
    </w:p>
    <w:p w:rsidR="001269BC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HBS’nin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farmakokinetik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özelliklerine bağlı olarak, etkinin başlaması gecikir.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HBS,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tablet ile birlikte kullanıldığında, klinik etki daha hızlı elde edilir. Bu özellikle sonraki günlük dozlardan daha yüksek olan ilk sabah dozu için yararlıdır.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HBS’nin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bireylere göre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titrasyonu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yavaş ve dikkatlice, doz değişiklikleri arasında en az 2-3 gün ara verilerek yürütülmelidir. 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Nokturnal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immobilitesi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olan hastalarda, yatmadan önce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HBS’in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son akşam dozunun kademeli olarak 250 mg‘a yükseltilmesinin pozitif etkilerinin olduğu bildirilmiştir.</w:t>
      </w:r>
    </w:p>
    <w:p w:rsidR="006517CF" w:rsidRPr="00E82B2D" w:rsidRDefault="006517CF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MADOPAR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HBS’ ye verilen aşırı cevaplar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diskinezi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tek dozların azaltılması yerine dozlar arasındaki sürenin artırılması ile kontrol altına alınabilir. </w:t>
      </w:r>
    </w:p>
    <w:p w:rsidR="001269BC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HBS’ye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yanıt yetersiz ise,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tablet ile tedaviye devam edilmelidir. </w:t>
      </w:r>
    </w:p>
    <w:p w:rsidR="001269BC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Hastalar istenmeyen muhtemel psikiyatrik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semptomlar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için dikkatle gözlenmelidir.</w:t>
      </w:r>
    </w:p>
    <w:p w:rsidR="00FE3681" w:rsidRPr="00E82B2D" w:rsidRDefault="00FE3681" w:rsidP="0070713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Uygulama şekli:</w:t>
      </w:r>
    </w:p>
    <w:p w:rsidR="003F2BAD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Yutmayı kolaylaştırmak için, </w:t>
      </w:r>
      <w:r w:rsidR="00E562F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tabletler küçük parçalara bölünebilir.</w:t>
      </w:r>
      <w:r w:rsidR="003F2BAD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:rsidR="00BC04B6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mümkün olduğunca yemekten en az 30 dakika önce veya 1 saat sonra alınmalıdır. Başlıca tedavinin erken döneminde görülen, </w:t>
      </w:r>
      <w:proofErr w:type="spell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gastrointestinal</w:t>
      </w:r>
      <w:proofErr w:type="spell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sisteme ait istenmeyen etkiler,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bir miktar yiyecek ve sıvıyla birlikte alınarak veya doz yavaşça artırılarak büyük ölçüde kontrol altına alınabilir (Bkz. </w:t>
      </w:r>
      <w:proofErr w:type="gramStart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4.8</w:t>
      </w:r>
      <w:proofErr w:type="gramEnd"/>
      <w:r w:rsidR="001269BC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. İstenmeyen etkiler).</w:t>
      </w:r>
    </w:p>
    <w:p w:rsidR="00FE3681" w:rsidRPr="00E82B2D" w:rsidRDefault="00FE3681" w:rsidP="0070713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Özel </w:t>
      </w:r>
      <w:proofErr w:type="gram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popülasyonlara</w:t>
      </w:r>
      <w:proofErr w:type="gram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ilişkin ek bilgiler</w:t>
      </w:r>
    </w:p>
    <w:p w:rsidR="00FE3681" w:rsidRPr="00E82B2D" w:rsidRDefault="00FE3681" w:rsidP="0070713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Böbrek/Karaciğer yetmezliği:</w:t>
      </w:r>
    </w:p>
    <w:p w:rsidR="00A64B3E" w:rsidRPr="00E82B2D" w:rsidRDefault="00FE3681" w:rsidP="00707138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yaygın olarak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metabolize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edilir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%10'undan azı böbreklerden değişmeden atılır. Bu yüzden hafif ve orta yetmezliklerde dozun azaltılması gerekmez.</w:t>
      </w:r>
    </w:p>
    <w:p w:rsidR="00A64B3E" w:rsidRPr="00E82B2D" w:rsidRDefault="00FE3681" w:rsidP="00707138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Böbrek yetmezliği olan hastalarda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farmakokinetik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veriler mevcut değildir. MADOPAR hemodiyalize giren üremik hastalar tarafından iyi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tolere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edilmektedir.</w:t>
      </w:r>
    </w:p>
    <w:p w:rsidR="00FE3681" w:rsidRPr="00E82B2D" w:rsidRDefault="00FE3681" w:rsidP="00707138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Karaciğer yetmezliği olan hastalarda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farmakokinetik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veriler mevcut değildir.</w:t>
      </w:r>
    </w:p>
    <w:p w:rsidR="00FE3681" w:rsidRPr="00E82B2D" w:rsidRDefault="00FE3681" w:rsidP="00707138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Pediyatrik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popülasyon</w:t>
      </w:r>
      <w:proofErr w:type="gram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MADOPAR’ın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çocuklarda kullanımı güvenilir değildir.</w:t>
      </w:r>
    </w:p>
    <w:p w:rsidR="00FE3681" w:rsidRPr="00E82B2D" w:rsidRDefault="00FE3681" w:rsidP="0070713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Geriyatrik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popülasyon</w:t>
      </w:r>
      <w:proofErr w:type="gram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Yaşlılarda doz dikkatle ayarlanmalıdır.</w:t>
      </w:r>
    </w:p>
    <w:p w:rsidR="001269BC" w:rsidRPr="00E82B2D" w:rsidRDefault="001269BC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33494" w:rsidRPr="00E82B2D" w:rsidRDefault="00933494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4.3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Kontrendikasyonlar</w:t>
      </w:r>
      <w:proofErr w:type="spellEnd"/>
    </w:p>
    <w:p w:rsidR="00FE3681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karşı aşırı duyarlılığı olduğu bilinen hastalara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verilmemelidir.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monoamin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oksidaz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(MAO) inhibitörleri ile birlikte verilm</w:t>
      </w:r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emelidir. Bununla birlikte, </w:t>
      </w:r>
      <w:proofErr w:type="spellStart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>seleg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ilin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gibi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MAO-B inhibitörleri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moklobemid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gibi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MAO-A inhibitörleri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kontrendike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değildir. MAO-A ve MAO-B inhibitörleri</w:t>
      </w:r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>nin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kombinasyonunun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inhibisyonuna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eşittir. Bu nedenle bu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</w:t>
      </w:r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eş zamanlı olarak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verilmemelidir (Bkz. 4.5 Diğer ilaçlarla etkileşim ve diğer etkileşim türleri).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ciddi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dekompanse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endokrin,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renal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>hepatik</w:t>
      </w:r>
      <w:proofErr w:type="spellEnd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fonksiyonları (diyalize giren HBS hastaları haricinde); kardiyak hastalıklar; </w:t>
      </w:r>
      <w:proofErr w:type="spellStart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>psikotik</w:t>
      </w:r>
      <w:proofErr w:type="spellEnd"/>
      <w:r w:rsidR="00FE3681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bileşenli psikiyatrik hastalıklarda veya dar açılı glokomu olan hastalara verilmemelidir. </w:t>
      </w:r>
    </w:p>
    <w:p w:rsidR="00A64B3E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1269BC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25 yaşın altındaki hastalara verilmemelidir (iskelet gelişimi tamamlanmış olmalıdır). </w:t>
      </w:r>
    </w:p>
    <w:p w:rsidR="003F2BAD" w:rsidRPr="00E82B2D" w:rsidRDefault="001269BC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Gebe kadınlara veya yeterli doğum kontrolü uygulamayan, çocuk doğurma potansiyeli olan kadınlara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verilmemelidir.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alan bir kadın hastada gebelik meydana gelirse, ilaç hemen kesilmelidir.</w:t>
      </w:r>
    </w:p>
    <w:p w:rsidR="003F2BAD" w:rsidRPr="00E82B2D" w:rsidRDefault="003F2BAD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</w:p>
    <w:p w:rsidR="00FE3681" w:rsidRPr="00E82B2D" w:rsidRDefault="00FE3681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4.4.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Özel kullanım uyarıları ve önlemleri</w:t>
      </w:r>
    </w:p>
    <w:p w:rsidR="00FE3681" w:rsidRPr="00E82B2D" w:rsidRDefault="00FE3681" w:rsidP="00707138">
      <w:pPr>
        <w:tabs>
          <w:tab w:val="left" w:pos="-1440"/>
          <w:tab w:val="left" w:pos="-720"/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MADOPAR kullanan hastalarda depresyon oluşabilir ancak bu,  altta yatan bir hastalığın etkisi de olabilir. 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birlikte kullanılması,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dekarboksilasyonuna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bağlı olarak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periferdeki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etkilerini (bulantı, kusma) artırır. Ancak,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santral etkilerine bağlı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etkileri azaltmaz.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Çünkü,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beyine daha çok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ulaşmasını ve daha çok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oluşmasını sağlar.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içeren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preparatları ile bazı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Santral Sinir Sistemi (SSS) etkileri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ör.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diskinezi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(istem dışı hareketler)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sadece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içeren preparatlara göre daha düşük dozlarda ve daha hızlı meydana gelebilir. Yaşlılar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SSS etkilerine daha duyarlı olabilir.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Hassas bireylerde aşırı duyarlılık reaksiyonları gelişebilir.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Teorik olarak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intraoküler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(göz içi) basıncı yükseltme potansiyeli olduğundan, geniş açılı glokomu olan hastalarda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intraoküler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basıncın düzenli olarak ölçülmesi önerilir.</w:t>
      </w:r>
    </w:p>
    <w:p w:rsidR="000B4F5B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mental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rahatsızlıklara neden olabilir. Bu reaksiyonların,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uygulamasını takiben beyinde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miktarının artmasına bağlı olduğu düşünülmektedir. Tüm hastalar intihar eğiliminin eşlik ettiği depresyon gelişimi bakımından dikkatle izlenmelidir. Geçmişinde veya mevcut psikozları olan hastalar dikkatle tedavi edilmelidir.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Parkinson hastalarında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dopaminerjik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tedavi ile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halüsinasyon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arasında ilişki kurulmuştur.</w:t>
      </w:r>
    </w:p>
    <w:p w:rsidR="000B4F5B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diskineziye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neden olabilir veya mevcut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diskineziyi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alevlendirebilir.</w:t>
      </w:r>
    </w:p>
    <w:p w:rsidR="000B4F5B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ciddi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kardiyovasküler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pulmoner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hastalığı,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bronşiyal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astım,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renal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hepatik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endokrin hastalığı bulunan hastalarda dikkatle uygulanmalıdır.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Rezidüel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atrial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nodal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ventriküler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aritmisi olan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miyokardiyal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infarktüs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geçmişi olan hastalarda uygulanırken dikkatli olunmalıdır. Bu tür hastalar, ilk doz ayarlama periyodunda yoğun kardiyak bakım koşullarına sahip bir ünitede dikkatle izlenmelidir. 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Tedavi sırasında karaciğer fonksiyonu ve kan sayımı kontrolleri yapılmalıdır. </w:t>
      </w:r>
    </w:p>
    <w:p w:rsidR="003F2BAD" w:rsidRPr="00E82B2D" w:rsidRDefault="00CB74A3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Dopaminerjik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ilaçlar: Parkinson hastalığı nedeniyle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agonistleri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tedavi edilen hastalarda patolojik kumar oynama, artmış libido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hiperseksüalite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rapor edilmiştir. Ancak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agonisti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olmayan MADOPAR ile bu olaylar arasında belirlenmiş bir nedensel ilişki bulunmamaktadır. Bununla birlikte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dopaminerjik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ilaç olduğu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MADOPAR’ın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dikkatli kullanılması önerilir.</w:t>
      </w:r>
    </w:p>
    <w:p w:rsidR="003F2BAD" w:rsidRPr="00E82B2D" w:rsidRDefault="003F2BAD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</w:p>
    <w:p w:rsidR="007A6452" w:rsidRPr="00E82B2D" w:rsidRDefault="007A6452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4.5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Diğer tıbbi ürünlerle etkileşim ve diğer etkileşim şekilleri</w:t>
      </w:r>
    </w:p>
    <w:p w:rsidR="007A6452" w:rsidRPr="00E82B2D" w:rsidRDefault="007A6452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Farmakokinetik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 xml:space="preserve"> etkileşmeler: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Antikolinerjik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bir ilaç olan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triheksifenidilin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birlikte uygulanması,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r w:rsidR="00D4681C" w:rsidRPr="00E82B2D">
        <w:rPr>
          <w:rFonts w:ascii="Times New Roman" w:hAnsi="Times New Roman"/>
          <w:color w:val="000000" w:themeColor="text1"/>
          <w:sz w:val="24"/>
          <w:szCs w:val="24"/>
        </w:rPr>
        <w:t>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hızını azaltır, fakat miktarını değiştirmez. Demir sülfat,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levodopa’ya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bağlanarak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maksimum plazma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konsantrasyonunu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EAA’ını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%30-50 azaltır. Bu sebeple, demir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farklı dozlarda verilmelidir. Demir sülfat ile birlikte tedavi sırasında, hastaların tümünde değil ama bazılarında, klinik olarak anlamlı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farmakokinetik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değişiklikler gözlenmiştir.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Metoklopramid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hızını arttırır.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Metoklopramid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midenin boşalmasını sağlayarak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biyoyararlanımını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arttırmasına rağmen,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reseptör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antagonisti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özellikleri ile hastalığın kontrolünü ters etkileyebilir. </w:t>
      </w:r>
    </w:p>
    <w:p w:rsidR="000B4F5B" w:rsidRPr="00E82B2D" w:rsidRDefault="007A6452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Bromokriptin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amantadin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seleg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ilin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domperidon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arasında hiçbir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farmakokinetik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etkileşim bulunmamaktadır.</w:t>
      </w:r>
    </w:p>
    <w:p w:rsidR="007A6452" w:rsidRPr="00E82B2D" w:rsidRDefault="007A6452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Farmakodinamik etkileşmeler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: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Nöroleptikler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opioidler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papaverin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fenitoin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rezerpin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içeren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antihipertansif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ilaçlar, </w:t>
      </w:r>
      <w:proofErr w:type="spellStart"/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’ın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etkisini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inhibe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ederler. 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Antihipertansif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alan hastanın tedavisine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ilave edildiğinde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semptomatik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postural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hipotansiyon meydana gelebilir. Bu sebeple,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tedavisine başlandığında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antihipertansif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ilacın dozunu ayarlamak gerekebilir.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İreversibl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 inhibitörleri alan hastalarda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uygulanacaksa, MAO inhibitörlerinin kesilmesi ve </w:t>
      </w:r>
      <w:proofErr w:type="spellStart"/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’a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başlanması arasında en az iki haftalık bir ara olmalıdır. Aksi takdirde,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hipertansif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kriz gibi istenmeyen etkiler meydana gelebilir (Bkz</w:t>
      </w:r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>4.3</w:t>
      </w:r>
      <w:proofErr w:type="gramEnd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>Kontrendikasyonlar</w:t>
      </w:r>
      <w:proofErr w:type="spellEnd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proofErr w:type="spellStart"/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>Seleg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ilin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6452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ve </w:t>
      </w:r>
      <w:proofErr w:type="spellStart"/>
      <w:r w:rsidR="007A6452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rasagilin</w:t>
      </w:r>
      <w:proofErr w:type="spellEnd"/>
      <w:r w:rsidR="007A6452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gibi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MAO-B inhibitörleri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moklobemid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gibi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MAO-A inhibitörleri,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tedavisindeki hastalara </w:t>
      </w:r>
      <w:r w:rsidR="007A6452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reçete edilebilir; </w:t>
      </w:r>
      <w:r w:rsidR="007A6452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etkinlik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ve tolerans göz önüne alınarak, hastanın bireysel ihtiyacına göre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dozunun yeniden ayarlanması tavsiye edilir. MAO-A ve MAO-B inhibitörleri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kombinasyonunun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selektif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MAO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inhibisyonuna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eşittir. Bu nedenle bu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birlikte verilmemelidir (Bkz. 4.3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Kontrendikasyonlar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Trisiklik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antidepresanlarla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birlikte kullanıldığında nadiren hipertansiyon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diskineziyi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içeren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etkiler rapor edilmiştir. </w:t>
      </w:r>
    </w:p>
    <w:p w:rsidR="003F2BAD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Fenotiazinler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butirofenonlar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risperidon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gibi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D2 reseptör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antagonistleri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izoniazid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etkisini azaltabilir.</w:t>
      </w:r>
    </w:p>
    <w:p w:rsidR="003F2BAD" w:rsidRPr="00E82B2D" w:rsidRDefault="003F2BAD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</w:p>
    <w:p w:rsidR="007A6452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sempatomimetiklerle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(adrenalin,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noradrenalin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isoproterenol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amfetamin gibi sempatik sinir sistemini uyaran ajanlar) birlikte uygulanmamalıdır, zira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bunların etkilerini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potansiyalize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edebilir. Birlikte uygulamanın zorunlu olduğu durumlarda,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kardiyovasküler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sistemin yakından takip edilmesi gereklidir ve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sempatomimetik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ilaçların dozlarının azaltılması gerekebilir. 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Diğer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antiparkinson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ilaçlarla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antikolinerjikler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amantadin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agonistleri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yapılabilir, ancak bu, tedavinin hem istenen, hem de istenmeyen etkilerinin yoğunluğunu artırabilir. </w:t>
      </w:r>
    </w:p>
    <w:p w:rsidR="00B31C38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diğer ilacın dozunu azaltmak gerekebilir. Bir COMT inhibitörü ile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adjuvan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tedaviye başlandığında,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dozunun azaltılması gerekli olabilir.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 bir süre başlamayacağı için,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tedavisi başladığında,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antikolinerjikler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aniden bırakılmamalıdır.</w:t>
      </w:r>
    </w:p>
    <w:p w:rsidR="00B31C38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katekola</w:t>
      </w:r>
      <w:r w:rsidR="007D265D" w:rsidRPr="00E82B2D">
        <w:rPr>
          <w:rFonts w:ascii="Times New Roman" w:hAnsi="Times New Roman"/>
          <w:color w:val="000000" w:themeColor="text1"/>
          <w:sz w:val="24"/>
          <w:szCs w:val="24"/>
        </w:rPr>
        <w:t>min</w:t>
      </w:r>
      <w:proofErr w:type="spellEnd"/>
      <w:r w:rsidR="007D265D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7D265D" w:rsidRPr="00E82B2D">
        <w:rPr>
          <w:rFonts w:ascii="Times New Roman" w:hAnsi="Times New Roman"/>
          <w:color w:val="000000" w:themeColor="text1"/>
          <w:sz w:val="24"/>
          <w:szCs w:val="24"/>
        </w:rPr>
        <w:t>kreatinin</w:t>
      </w:r>
      <w:proofErr w:type="spellEnd"/>
      <w:r w:rsidR="007D265D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ürik asit ve </w:t>
      </w:r>
      <w:proofErr w:type="spellStart"/>
      <w:r w:rsidR="007D265D" w:rsidRPr="00E82B2D">
        <w:rPr>
          <w:rFonts w:ascii="Times New Roman" w:hAnsi="Times New Roman"/>
          <w:color w:val="000000" w:themeColor="text1"/>
          <w:sz w:val="24"/>
          <w:szCs w:val="24"/>
        </w:rPr>
        <w:t>glu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koz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için yapılan laboratuar testlerinin sonuçlarını etkileyebilir. </w:t>
      </w:r>
    </w:p>
    <w:p w:rsidR="000B4F5B" w:rsidRPr="00E82B2D" w:rsidRDefault="00E562F6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alan hastalarda,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Coombs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testleri hatalı pozitif sonuç verebilir. İlaç, proteinden zengin bir diyetle alındığında, etkinin azaldığı gözlenmiştir.</w:t>
      </w: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10-25 mg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piridoksin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hidroklorür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(B6 vitamini) verilmesi aromatik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amino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hızını arttırarak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etkisini tersine çevirebilir.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piridoksinin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bu aksiyonunu önlediğinden,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destek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piridoksin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alan hastalara verilebilir.</w:t>
      </w:r>
    </w:p>
    <w:p w:rsidR="00601811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Levodopa’nın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prolaktin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salgılanmasını baskıladığı ve büyüme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hormunu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seviyesini arttırdığı bilinmektedir.</w:t>
      </w:r>
    </w:p>
    <w:p w:rsidR="007D265D" w:rsidRPr="00E82B2D" w:rsidRDefault="007D265D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Özel </w:t>
      </w:r>
      <w:proofErr w:type="gram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popülasyonlara</w:t>
      </w:r>
      <w:proofErr w:type="gramEnd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ilişkin ek bilgiler</w:t>
      </w:r>
    </w:p>
    <w:p w:rsidR="007D265D" w:rsidRPr="00E82B2D" w:rsidRDefault="007D265D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Veri bulunmamaktadır.</w:t>
      </w:r>
    </w:p>
    <w:p w:rsidR="00707138" w:rsidRPr="00E82B2D" w:rsidRDefault="00707138" w:rsidP="00E36E12">
      <w:pPr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4.6.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Gebelik ve </w:t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laktasyon</w:t>
      </w:r>
      <w:proofErr w:type="spellEnd"/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Genel tavsiye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Gebelik kategorisi: C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Çocuk doğurma potansiyeli bulunan kadınlar/Doğum kontrolü (</w:t>
      </w:r>
      <w:proofErr w:type="spell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Kontrasepsiyon</w:t>
      </w:r>
      <w:proofErr w:type="spellEnd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)</w:t>
      </w:r>
    </w:p>
    <w:p w:rsidR="00B31C38" w:rsidRPr="00E82B2D" w:rsidRDefault="00B31C38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MADOPAR yeterli doğum kontrolü uygulamayan, çocuk doğurma potansiyeli olan kadınlarda, kesinlikle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kontrendikedir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(Bkz.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4.3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Kontrendikasyonlar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). 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Gebelik dönemi </w:t>
      </w:r>
    </w:p>
    <w:p w:rsidR="003F2BAD" w:rsidRPr="00E82B2D" w:rsidRDefault="00B31C38" w:rsidP="00707138">
      <w:pPr>
        <w:pStyle w:val="GvdeMetniGirintisi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MADOPAR, gebelikte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kontrendikedir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2BAD" w:rsidRPr="00E82B2D" w:rsidRDefault="003F2BAD" w:rsidP="00707138">
      <w:pPr>
        <w:pStyle w:val="GvdeMetniGirintisi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</w:p>
    <w:p w:rsidR="00A64B3E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Laktasyon</w:t>
      </w:r>
      <w:proofErr w:type="spellEnd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dönemi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Benserazidin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anne sütüne geçip geçmediği bilinmediğinden, MADOPAR tedavisi gerekli olan anneler bebeklerini emzirmemelidir.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Zira,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yenidoğanda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iskelet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malformasyonları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oluşumu önlenemez.</w:t>
      </w:r>
    </w:p>
    <w:p w:rsidR="00783396" w:rsidRPr="00E82B2D" w:rsidRDefault="00783396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  <w:highlight w:val="yellow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Üreme yeteneği/</w:t>
      </w:r>
      <w:proofErr w:type="spell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fertilite</w:t>
      </w:r>
      <w:proofErr w:type="spellEnd"/>
    </w:p>
    <w:p w:rsidR="00783396" w:rsidRPr="00E82B2D" w:rsidRDefault="00783396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Veri bulunmamaktadır.</w:t>
      </w:r>
    </w:p>
    <w:p w:rsidR="00707138" w:rsidRPr="00E82B2D" w:rsidRDefault="00707138" w:rsidP="00E36E12">
      <w:pPr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4.7. Araç ve makine kullanımı üzerindeki etkiler</w:t>
      </w:r>
    </w:p>
    <w:p w:rsidR="00B31C38" w:rsidRPr="00E82B2D" w:rsidRDefault="00B31C38" w:rsidP="00707138">
      <w:pPr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ile tedavi edilen ve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somnolans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ve/veya ani uyku </w:t>
      </w:r>
      <w:proofErr w:type="gram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epizotları</w:t>
      </w:r>
      <w:proofErr w:type="gram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yaşayan hastalar, uyanıklık düzeyinde yaşadıkları bozukluk kendilerini ve başkalarını ciddi sakatlık ve ölüm riski altına soktuğunda, bu tür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reküren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epizotlar ve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somnolans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hali ortadan kalkana kadar araç kullanmayı bırakm</w:t>
      </w:r>
      <w:r w:rsidR="00783396"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a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konusunda bilgilendirilmelidir.</w:t>
      </w:r>
    </w:p>
    <w:p w:rsidR="00707138" w:rsidRPr="00E82B2D" w:rsidRDefault="00707138" w:rsidP="00E36E1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4.8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İstenmeyen etkiler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Çok yaygın (≥1/10); yaygın (≥1/100 ila &lt;1/10); yaygın olmayan (≥1/1.000 ila &lt;1/100); seyrek (≥1/10.000 ila &lt;1/1.000); çok seyrek (&lt;1/10.000), bilinmiyor (eldeki verilerden hareketle tahmin edilemiyor).</w:t>
      </w:r>
    </w:p>
    <w:p w:rsidR="00E36E12" w:rsidRPr="00E82B2D" w:rsidRDefault="00E36E12" w:rsidP="00E36E12">
      <w:p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Metabolik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ve beslenme bozuklukları:</w:t>
      </w:r>
      <w:r w:rsidRPr="00E82B2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Bilinmiyor: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Anoreksi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bildirilmiştir.</w:t>
      </w:r>
    </w:p>
    <w:p w:rsidR="00A64B3E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Gastrointestinal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rahatsızlıklar:</w:t>
      </w:r>
      <w:r w:rsidRPr="00E82B2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Bilinmiyor: Mide bulantısı, kusma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diyare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MADOPAR ile bildirilmiştir.</w:t>
      </w:r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Genellikle tedavinin başlarında ortaya çıkan istenmeyen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gastrointestinal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etkiler,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MADOPAR’ın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yiyecek veya içecek eşliğinde alınması veya dozu yavaşça artırılması ile büyük ölçüde kontrol edilebilir.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Deri ve deri altı doku hastalıkları: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Pruritus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döküntü gibi alerjik deri reaksiyonları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Kardiyak bozukluklar: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Seyrek: Kardiyak ar</w:t>
      </w:r>
      <w:r w:rsidR="0081090C" w:rsidRPr="00E82B2D">
        <w:rPr>
          <w:rFonts w:ascii="Times New Roman" w:hAnsi="Times New Roman"/>
          <w:color w:val="000000" w:themeColor="text1"/>
          <w:sz w:val="24"/>
          <w:szCs w:val="24"/>
        </w:rPr>
        <w:t>it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miler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</w:pP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Vasküler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bozukluklar:</w:t>
      </w:r>
    </w:p>
    <w:p w:rsidR="003F2BAD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>Ortostatik</w:t>
      </w:r>
      <w:proofErr w:type="spellEnd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hipotansiyon. </w:t>
      </w:r>
      <w:proofErr w:type="spellStart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>Ortostatik</w:t>
      </w:r>
      <w:proofErr w:type="spellEnd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>şikayetler</w:t>
      </w:r>
      <w:proofErr w:type="gramEnd"/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MADOPAR dozunun azaltılmasından sonra genellikle düzelir.</w:t>
      </w:r>
    </w:p>
    <w:p w:rsidR="003F2BAD" w:rsidRPr="00E82B2D" w:rsidRDefault="003F2BAD" w:rsidP="00E36E12">
      <w:pPr>
        <w:rPr>
          <w:rFonts w:ascii="Times New Roman" w:hAnsi="Times New Roman"/>
          <w:color w:val="000000" w:themeColor="text1"/>
          <w:sz w:val="24"/>
          <w:szCs w:val="24"/>
        </w:rPr>
        <w:sectPr w:rsidR="003F2BAD" w:rsidRPr="00E82B2D" w:rsidSect="00ED09EC">
          <w:endnotePr>
            <w:numFmt w:val="decimal"/>
          </w:endnotePr>
          <w:pgSz w:w="11907" w:h="16840" w:code="9"/>
          <w:pgMar w:top="1701" w:right="1701" w:bottom="1276" w:left="1701" w:header="1701" w:footer="578" w:gutter="0"/>
          <w:cols w:space="720"/>
          <w:noEndnote/>
          <w:docGrid w:linePitch="360"/>
        </w:sectPr>
      </w:pPr>
    </w:p>
    <w:p w:rsidR="00A64B3E" w:rsidRPr="00E82B2D" w:rsidRDefault="00B31C38" w:rsidP="00707138">
      <w:pPr>
        <w:shd w:val="clear" w:color="auto" w:fill="FFFFFF"/>
        <w:spacing w:line="360" w:lineRule="auto"/>
        <w:jc w:val="both"/>
        <w:rPr>
          <w:color w:val="000000" w:themeColor="text1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Kan ve lenfatik sistem bozuklukları:</w:t>
      </w:r>
      <w:r w:rsidRPr="00E82B2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Hemolitik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anemi, geçici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lökopeni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trombositopeni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seyrek vakalarda bildirilmiştir.</w:t>
      </w:r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Böylelikle,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içeren uzun süreli tedavide kan sayımı ve böbrek ve karaciğer fonksiyonu düzenli olarak izlenmelidir.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Sinir sistemi bozukluğu:</w:t>
      </w:r>
      <w:r w:rsidRPr="00E82B2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color w:val="000000" w:themeColor="text1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Bilinmiyor: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Agüzi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disagüzi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izole vakaları bildirilmiştir. Tedavinin ileri evrelerinde,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diskinezi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koreiform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ateotik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) ortaya çıkabilir.</w:t>
      </w:r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Bu durum, doz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azaltımı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ortadan kaldırılabilir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tolere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edilebilir hale getirilebilir. Uzun süreli tedavi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cevaplarda dalgalanma da gözlenebilir. 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Bunlara donma epizotları, doz sonu kötüleşmesi ve “açık-kapalı” etkisi de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dahildir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. Bu durum, dozda yapılan ayarlama ve daha küçük tek dozların daha sık olarak verilmesi ile ortadan kaldırılabilir 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tolere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edilebilir hale getirilebilir.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etkiyi arttırmak için bunun ardından dozu tekrar artırma denemesi yapılabilir. MADOPAR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somnolans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nadiren aşırı gün içi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somnolans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ani uyku basması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epizotları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ilişkilendirilmiştir.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Psikiyatrik rahatsızlıklar:</w:t>
      </w:r>
    </w:p>
    <w:p w:rsidR="00B31C38" w:rsidRPr="00E82B2D" w:rsidRDefault="00B31C38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Bilinmiyor: Depresyon, Parkinson hastalığına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HBS’si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olan hastalarda klinik tablonun bir parçası olabilir ve MADOPAR ile tedavi edilen hastalarda da ortaya çıkabilir.</w:t>
      </w:r>
      <w:r w:rsidRPr="00E82B2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Ajitasyon,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anksiyete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uykusuzluk,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halüsinasyonlar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delüzyonlar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zaman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dezoryantasyonu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özellikle yaşlı hastalarda ve bu hastalıkları daha önceden geçirmiş olan hastalarda ortaya çıkabilir.</w:t>
      </w:r>
    </w:p>
    <w:p w:rsidR="00E36E12" w:rsidRPr="00E82B2D" w:rsidRDefault="00E36E12" w:rsidP="00E36E1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E12" w:rsidRPr="00E82B2D" w:rsidRDefault="00E36E12" w:rsidP="00E36E12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</w:pPr>
      <w:r w:rsidRPr="00E82B2D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nl-NL"/>
        </w:rPr>
        <w:t>Ş</w:t>
      </w:r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 xml:space="preserve">üpheli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 xml:space="preserve"> reaksiyonlar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n raporlanmas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nl-NL"/>
        </w:rPr>
        <w:t>ı</w:t>
      </w:r>
    </w:p>
    <w:p w:rsidR="00E36E12" w:rsidRPr="00E82B2D" w:rsidRDefault="00E36E12" w:rsidP="00E36E12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nl-NL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Ruhsatland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rma sonras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 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ş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üpheli ilaç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 reaksiyonlar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n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n raporlanmas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 büyük önem ta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şı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maktad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r. Raporlama yap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lmas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, ilac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n yarar/risk dengesinin sürekli olarak izlenmesine olanak sa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ğ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lar. Sa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ğ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l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k mesle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ğ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i mensuplar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n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n herhangi bir 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  <w:lang w:eastAsia="nl-NL"/>
        </w:rPr>
        <w:t>şü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pheli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advers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 reaksiyonu Türkiye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Farmakovijilans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 Merkezi (TÜFAM)'ne bildirmeleri gerekmektedir. (</w:t>
      </w:r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www.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titck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.gov.tr</w:t>
      </w:r>
      <w:r w:rsidR="00557303"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; 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 xml:space="preserve">e-posta: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tufam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@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titck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  <w:u w:val="single"/>
          <w:lang w:eastAsia="nl-NL"/>
        </w:rPr>
        <w:t>.gov.tr</w:t>
      </w:r>
      <w:r w:rsidRPr="00E82B2D">
        <w:rPr>
          <w:rFonts w:ascii="Times New Roman" w:hAnsi="Times New Roman"/>
          <w:color w:val="000000" w:themeColor="text1"/>
          <w:sz w:val="24"/>
          <w:szCs w:val="24"/>
          <w:lang w:eastAsia="nl-NL"/>
        </w:rPr>
        <w:t>; tel: 0 800 314 00 08; faks: 0 312 218 35 99)</w:t>
      </w:r>
    </w:p>
    <w:p w:rsidR="00E36E12" w:rsidRPr="00E82B2D" w:rsidRDefault="00E36E12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E12" w:rsidRPr="00E82B2D" w:rsidRDefault="00E36E12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E12" w:rsidRPr="00E82B2D" w:rsidRDefault="00E36E12" w:rsidP="0070713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E12" w:rsidRPr="00E82B2D" w:rsidRDefault="00E36E12" w:rsidP="00E36E1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4.9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Doz aşımı ve tedavisi</w:t>
      </w:r>
    </w:p>
    <w:p w:rsidR="00D2066C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Aşırı dozun en sık görülen belirtileri, normal olmayan istem dışı hareket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softHyphen/>
        <w:t xml:space="preserve">ler,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konfüzyon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ve uykusuzluktur. Çok nadir olarak bulantı, kusma veya kardiyak aritmiler meydana gelmektedir. Doz aşımı durumunda, hemen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gastrik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lavaj yapılması, solunum ve kalp fonksiyonlarının izlenmesi önerilmektedir. Solunum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stimulanları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antiaritmikler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veya uygunsa </w:t>
      </w: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nöroleptiklerin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uygulanması gerekli olabilir.</w:t>
      </w:r>
    </w:p>
    <w:p w:rsidR="00E36E12" w:rsidRPr="00E82B2D" w:rsidRDefault="00E36E12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</w:p>
    <w:p w:rsidR="00933494" w:rsidRPr="00E82B2D" w:rsidRDefault="00933494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FARMAKOLOJİK ÖZELLİKLERİ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5.1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Farmakodinamik özellikler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Farmakoterapötik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grup: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inhibitörleri</w:t>
      </w:r>
    </w:p>
    <w:p w:rsidR="00E36E12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ATC kodu: N04BA02</w:t>
      </w:r>
    </w:p>
    <w:p w:rsidR="00E36E12" w:rsidRPr="00E82B2D" w:rsidRDefault="00E36E12" w:rsidP="00E36E1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B4F5B" w:rsidRPr="00E82B2D" w:rsidRDefault="000B4F5B" w:rsidP="00707138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Beyinde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nörotransmiter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olarak rol alan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parkinsonlu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has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softHyphen/>
        <w:t>talarda bazal gangli</w:t>
      </w:r>
      <w:r w:rsidR="00F70134" w:rsidRPr="00E82B2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onlarda yeterli miktarda bulunmamaktadır.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kan beyin engelini geçebilme yeteneği çok sınırlı olduğundan, yerine koyma tedavisi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direkt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prekürsoru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uygulanarak gerçekleştirilir. Uygulama sonrası,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vücutta gerek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serebral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gerekse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ekstraserebral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dokularda, hızla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olur. Sonuç olarak, uygulanan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çoğu bazal gangli</w:t>
      </w:r>
      <w:r w:rsidR="00F70134" w:rsidRPr="00E82B2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onlara ulaşamaz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periferde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oluşan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sıklıkla istenmeyen etkilere neden olur. Bu nedenle,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ekstraserebral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dekarboksilasyonunun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inhibe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edilmesi özellikle arzu edilmektedir. Bu,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periferik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softHyphen/>
        <w:t>silaz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inhibitörü olan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aynı anda uygulanması ile sağlanır.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bu iki maddenin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4:1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oranında kombinasyonudur. Klinik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çalışmalarda  ve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kullanımda bu oranın optimal sonuçlar sağladığı kanıtlanmıştır. Bu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kombinasyon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tek başına yüksek dozlarda uygulanan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kadar etkilidir.</w:t>
      </w:r>
    </w:p>
    <w:p w:rsidR="00707138" w:rsidRPr="00E82B2D" w:rsidRDefault="00707138" w:rsidP="00E36E1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5.2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Farmakokinetik</w:t>
      </w:r>
      <w:proofErr w:type="spellEnd"/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özellikler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Genel özellikler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Emilim: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:rsidR="000B4F5B" w:rsidRPr="00E82B2D" w:rsidRDefault="003F2BAD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başlıca 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ince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barsağın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üst bölümlerinden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absorbe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olur ve buradaki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bölgeden bağımsızdır.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tablet alımından yaklaşık 1 saat sonra,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maksimum plazma </w:t>
      </w:r>
      <w:proofErr w:type="gram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konsantrasyonlarına</w:t>
      </w:r>
      <w:proofErr w:type="gram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ulaşılır.</w:t>
      </w:r>
      <w:r w:rsidR="000B4F5B"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B4F5B" w:rsidRPr="00E82B2D" w:rsidRDefault="00E562F6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tabletten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mutlak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biyoyararlanımı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% 98’dir (%74-112 </w:t>
      </w:r>
      <w:proofErr w:type="gram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aralığında</w:t>
      </w:r>
      <w:proofErr w:type="gram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maksimum plazma </w:t>
      </w:r>
      <w:proofErr w:type="gram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konsantrasyonu</w:t>
      </w:r>
      <w:proofErr w:type="gram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miktarı (AUC)  dozla orantılı olarak artar (50-200 mg </w:t>
      </w:r>
      <w:proofErr w:type="spellStart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="000B4F5B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0B4F5B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Gıda alımı,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oranı ve miktarını azaltır. Doruk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plazma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konsantrasyonu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% 30 daha düşüktür ve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tablet standart bir öğünden sonra uygulandığında oluşur.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absorpsiyon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miktarı %15 azalır. </w:t>
      </w:r>
    </w:p>
    <w:p w:rsidR="00B31C38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parkinson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hastalarına uygulanmasını takiben yaklaşık %58’i hızla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absorbe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olur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birlikte uygulanması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absorpsiyonunun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hafiçe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artmasına neden olur.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Dağılım:</w:t>
      </w:r>
    </w:p>
    <w:p w:rsidR="003F2BAD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kan beyin engelini doyurulabilir bir transport sistemi ile geçer. Plazma proteinlerine bağlanmaz ve dağılım hacmi 57 litredir.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serebrospinal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sıvıdaki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AUC’si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plazmadakinin %12’si kadardır. </w:t>
      </w:r>
    </w:p>
    <w:p w:rsidR="00E36E12" w:rsidRPr="00E82B2D" w:rsidRDefault="00E36E12" w:rsidP="00E36E12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F5B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tersine,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dozlarda kan beyin engelini geçmez.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Başlıca  böbrek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>, akciğer, ince barsak ve karaciğerde toplanır.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Biyotransformasyon</w:t>
      </w:r>
      <w:proofErr w:type="spellEnd"/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: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:rsidR="000B4F5B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iki ana yolak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O-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metilasyon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) ve iki küçük yolak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transaminasyon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oksidasyon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metabolize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olur. </w:t>
      </w:r>
    </w:p>
    <w:p w:rsidR="000B4F5B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Aromatik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amino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levodopayı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çevirir. Bu yolağın başlıca son ürünleri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homovanilik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dihidroksifenilasetik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asittir.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Katekol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-O-metil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transferaz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(COMT),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levodopayı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3-O-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metildopaya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metiller. Bu ana plazma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metabolitinin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eliminasyon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yarı-ömrü 15 saattir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terapötik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dozda </w:t>
      </w:r>
      <w:r w:rsidR="00E562F6" w:rsidRPr="00E82B2D">
        <w:rPr>
          <w:rFonts w:ascii="Times New Roman" w:hAnsi="Times New Roman"/>
          <w:color w:val="000000" w:themeColor="text1"/>
          <w:sz w:val="24"/>
          <w:szCs w:val="24"/>
        </w:rPr>
        <w:t>MADOPAR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alan hastalarda bu hızlanır. </w:t>
      </w:r>
    </w:p>
    <w:p w:rsidR="000B4F5B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 birlikte uygulandığında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azalmış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periferik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dekarboksilasyonu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3-O-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metildopanın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plazma seviyelerinin artışı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katekolamin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dopamin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noradrenalin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fenolkarboksilik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asidin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homovanilik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dihidroksifenilasetik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asit) plazma seviyelerinin azalması olarak yansır.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barsak mukozası ve karaciğerde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trihidroksibenzilhidrazine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hidroksillenir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. Bu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metabolit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aromatik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amino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asit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dekarboksilazın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güçlü bir inhibitörüdür.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Eliminasyon:</w:t>
      </w:r>
    </w:p>
    <w:p w:rsidR="00C53266" w:rsidRPr="00E82B2D" w:rsidRDefault="000B4F5B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dekarboksilazın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periferik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inhibisyona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uğradığı durumda,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eliminasyon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yarı-ömrü yaklaşık 1.5 saattir. Parkinson hastalığı olan yaşlılarda (65-78 yaş),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eliminasyon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yarı-ömrü biraz daha uzundur (yaklaşık %25).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plazmadan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klerensi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yaklaşık 430 mL/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dak’dır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hemen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hemen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tamamen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metabolize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olarak elimine olur.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Metabolitler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esas olarak idrarla (%64) ve daha az miktarda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feçesle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 (%24) atılır.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Hastalardaki </w:t>
      </w:r>
      <w:proofErr w:type="spellStart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karekteristik</w:t>
      </w:r>
      <w:proofErr w:type="spellEnd"/>
      <w:r w:rsidRPr="00E82B2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özellikler  </w:t>
      </w:r>
    </w:p>
    <w:p w:rsidR="00B31C38" w:rsidRPr="00E82B2D" w:rsidRDefault="00B31C38" w:rsidP="00707138">
      <w:pPr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 xml:space="preserve">Yaşlı hastalar: 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Daha yaşlı Parkinson hastalarında (65-78 yaş)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eliminasyon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yarı ömrü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levodopanın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AUC’si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genç hastalara (34-64 yaş) kıyasla %25 daha yüksektir. Bu istatistiksel olarak anlamlı yaş etkisi klinik olarak önemsizdir ve herhangi bir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endikasyon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için doz uygulama programı için az önem içermektedir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B31C38" w:rsidRPr="00E82B2D" w:rsidRDefault="00B31C38" w:rsidP="00E36E12">
      <w:pPr>
        <w:suppressAutoHyphens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5.3. Klinik öncesi güvenlilik verileri  </w:t>
      </w:r>
    </w:p>
    <w:p w:rsidR="001F773C" w:rsidRPr="00E82B2D" w:rsidRDefault="001F773C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MADOPAR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karsinojenite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çalışmaları yapılmamıştır.</w:t>
      </w:r>
    </w:p>
    <w:p w:rsidR="003F2BAD" w:rsidRPr="00E82B2D" w:rsidRDefault="001F773C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Ames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testinde MADOPAR ve bileşenlerinin (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levodopa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benserazid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mutajen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olduğu görülmemiştir. Bu konuda daha fazla veri bulunmamaktadır.</w:t>
      </w:r>
    </w:p>
    <w:p w:rsidR="001F773C" w:rsidRPr="00E82B2D" w:rsidRDefault="001F773C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MADOPAR ile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fertilite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üzerine hayvan çalışması yapılmamıştır.</w:t>
      </w:r>
    </w:p>
    <w:p w:rsidR="001F773C" w:rsidRPr="00E82B2D" w:rsidRDefault="001F773C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Farelerde (400 mg/kg), sıçanlarda (600 mg/kg; 250mg/kg) ve tavşanlarda (120 mg/kg; 150mg/kg) yapılan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teratojenite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çalışmaları herhangi bir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teratojenik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etki ya da iskelet gelişimi üzerine etki göstermemiştir. Gebelikte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toksik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doz seviyelerinde,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intrauterin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ölümler artmış (tavşanlarda) ve/veya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fetal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ağırlık azalmıştır (sıçanlarda).</w:t>
      </w:r>
    </w:p>
    <w:p w:rsidR="00B31C38" w:rsidRPr="00E82B2D" w:rsidRDefault="001F773C" w:rsidP="0070713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Sıçanlardaki genel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toksikolojik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çalışmalar, iskelet gelişiminin engellenebileceği ihtimalini göstermiştir. Konuyla ilgili daha fazla hayvan çalışması verisi yoktur.</w:t>
      </w:r>
    </w:p>
    <w:p w:rsidR="00DD37B9" w:rsidRPr="00E82B2D" w:rsidRDefault="00DD37B9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FARMASÖTİK ÖZELLİKLERİ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6.1.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Yardımcı maddelerin listesi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Kalsiyum hidrojen fosfat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50.0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mg 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Mikrokristalize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sellüloz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19.30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Prejelatinize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mısır nişastası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10.0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Krospovidon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10.0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Etil selüloz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1.50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Magnezyum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stearat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2.75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Kırmızı demir oksit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0.75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Kolloidal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susuz silika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0.50 mg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Dokusat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sodyum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ab/>
        <w:t>0.10 mg</w:t>
      </w:r>
    </w:p>
    <w:p w:rsidR="00933494" w:rsidRPr="00E82B2D" w:rsidRDefault="00933494" w:rsidP="00707138">
      <w:pPr>
        <w:numPr>
          <w:ilvl w:val="1"/>
          <w:numId w:val="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Geçimsizlikler</w:t>
      </w:r>
    </w:p>
    <w:p w:rsidR="000B4F5B" w:rsidRPr="00E82B2D" w:rsidRDefault="009051FD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Yoktur.</w:t>
      </w:r>
    </w:p>
    <w:p w:rsidR="009051FD" w:rsidRPr="00E82B2D" w:rsidRDefault="009051FD" w:rsidP="00E36E1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numPr>
          <w:ilvl w:val="1"/>
          <w:numId w:val="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Raf ömrü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2 yıl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62.5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mg’da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36 ay)</w:t>
      </w:r>
    </w:p>
    <w:p w:rsidR="00707138" w:rsidRPr="00E82B2D" w:rsidRDefault="00707138" w:rsidP="00E36E12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6.4.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Saklamaya yönelik özel tedbirler</w:t>
      </w: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25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  <w:vertAlign w:val="superscript"/>
        </w:rPr>
        <w:t>o</w:t>
      </w: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C'nin altındaki oda sıcaklığında saklayınız.</w:t>
      </w:r>
    </w:p>
    <w:p w:rsidR="00707138" w:rsidRPr="00E82B2D" w:rsidRDefault="00707138" w:rsidP="00E36E12">
      <w:pPr>
        <w:tabs>
          <w:tab w:val="left" w:pos="567"/>
        </w:tabs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B31C38" w:rsidRPr="00E82B2D" w:rsidRDefault="00B31C38" w:rsidP="00707138">
      <w:pPr>
        <w:tabs>
          <w:tab w:val="left" w:pos="567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6.5.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Ambalajın niteliği ve içeriği</w:t>
      </w:r>
    </w:p>
    <w:p w:rsidR="003F2BAD" w:rsidRPr="00E82B2D" w:rsidRDefault="00B31C38" w:rsidP="0070713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  <w:tab w:val="left" w:pos="1152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MADOPAR 125 mg tablet, 30 adet, cam şişede </w:t>
      </w:r>
    </w:p>
    <w:p w:rsidR="00E36E12" w:rsidRPr="00E82B2D" w:rsidRDefault="00E36E12" w:rsidP="00E36E1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  <w:tab w:val="left" w:pos="1152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6.6. Beşeri tıbbi üründen arta kalan maddelerin imhası ve diğer özel önlemler</w:t>
      </w:r>
    </w:p>
    <w:p w:rsidR="00B31C38" w:rsidRPr="00E82B2D" w:rsidRDefault="00B31C38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‘Tıbbi atıkların kontrolü yönetmeliği’ ve ‘Ambalaj ve Ambalaj Atıklarının Kontrolü yönetmelikleri’ ne uygun olarak imha edilmelidir.</w:t>
      </w:r>
    </w:p>
    <w:p w:rsidR="00B31C38" w:rsidRPr="00E82B2D" w:rsidRDefault="00B31C38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RUHSAT SAHİBİ</w:t>
      </w:r>
    </w:p>
    <w:p w:rsidR="001F27B3" w:rsidRPr="00E82B2D" w:rsidRDefault="001F27B3" w:rsidP="0070713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F.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Hoffmann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-La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Roche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Ltd.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Basel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</w:rPr>
        <w:t>İ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>sviçre lisans</w:t>
      </w:r>
      <w:r w:rsidRPr="00E82B2D">
        <w:rPr>
          <w:rFonts w:ascii="Times New Roman" w:hAnsi="Times New Roman" w:hint="eastAsia"/>
          <w:color w:val="000000" w:themeColor="text1"/>
          <w:sz w:val="24"/>
          <w:szCs w:val="24"/>
        </w:rPr>
        <w:t>ı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ile</w:t>
      </w:r>
    </w:p>
    <w:p w:rsidR="00B31C38" w:rsidRPr="00E82B2D" w:rsidRDefault="005A6226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Deva</w:t>
      </w:r>
      <w:r w:rsidR="00B31C38"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Holding A.Ş.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Halkalı Merkez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Mah.Basın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Ekspres Cad.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No: </w:t>
      </w:r>
      <w:proofErr w:type="gramStart"/>
      <w:r w:rsidRPr="00E82B2D">
        <w:rPr>
          <w:rFonts w:ascii="Times New Roman" w:hAnsi="Times New Roman"/>
          <w:color w:val="000000" w:themeColor="text1"/>
          <w:sz w:val="24"/>
          <w:szCs w:val="24"/>
        </w:rPr>
        <w:t>1  34303</w:t>
      </w:r>
      <w:proofErr w:type="gramEnd"/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 Küçükçekmece - İstanbul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Tel: 0 212 692 92 </w:t>
      </w: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92</w:t>
      </w:r>
      <w:proofErr w:type="spellEnd"/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2B2D">
        <w:rPr>
          <w:rFonts w:ascii="Times New Roman" w:hAnsi="Times New Roman"/>
          <w:color w:val="000000" w:themeColor="text1"/>
          <w:sz w:val="24"/>
          <w:szCs w:val="24"/>
        </w:rPr>
        <w:t>Fax</w:t>
      </w:r>
      <w:proofErr w:type="spellEnd"/>
      <w:r w:rsidRPr="00E82B2D">
        <w:rPr>
          <w:rFonts w:ascii="Times New Roman" w:hAnsi="Times New Roman"/>
          <w:color w:val="000000" w:themeColor="text1"/>
          <w:sz w:val="24"/>
          <w:szCs w:val="24"/>
        </w:rPr>
        <w:t>: 0 212 697 00 24</w:t>
      </w:r>
    </w:p>
    <w:p w:rsidR="00A64B3E" w:rsidRPr="00E82B2D" w:rsidRDefault="00A64B3E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33494" w:rsidRPr="00E82B2D" w:rsidRDefault="00933494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RUHSAT NUMARASI</w:t>
      </w:r>
    </w:p>
    <w:p w:rsidR="00B31C38" w:rsidRPr="00E82B2D" w:rsidRDefault="00C22EE4" w:rsidP="00707138">
      <w:pPr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pacing w:val="-2"/>
          <w:sz w:val="24"/>
          <w:szCs w:val="24"/>
        </w:rPr>
        <w:t>218/94</w:t>
      </w:r>
    </w:p>
    <w:p w:rsidR="00A64B3E" w:rsidRPr="00E82B2D" w:rsidRDefault="00A64B3E" w:rsidP="00707138">
      <w:pPr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B31C38" w:rsidRPr="00E82B2D" w:rsidRDefault="00B31C38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İLK RUHSAT TARİHİ/RUHSAT YENİLEME TARİHİ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İlk ruhsat tarihi: </w:t>
      </w:r>
      <w:r w:rsidR="00196CC7" w:rsidRPr="00E82B2D">
        <w:rPr>
          <w:rFonts w:ascii="Times New Roman" w:hAnsi="Times New Roman"/>
          <w:color w:val="000000" w:themeColor="text1"/>
          <w:sz w:val="24"/>
          <w:szCs w:val="24"/>
        </w:rPr>
        <w:t>05.05.2009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color w:val="000000" w:themeColor="text1"/>
          <w:sz w:val="24"/>
          <w:szCs w:val="24"/>
        </w:rPr>
        <w:t>Ruhsat yenileme tarihi:</w:t>
      </w:r>
    </w:p>
    <w:p w:rsidR="00B31C38" w:rsidRPr="00E82B2D" w:rsidRDefault="00B31C38" w:rsidP="0070713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1C38" w:rsidRPr="00E82B2D" w:rsidRDefault="00B31C38" w:rsidP="00707138">
      <w:pPr>
        <w:tabs>
          <w:tab w:val="left" w:pos="42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E82B2D">
        <w:rPr>
          <w:rFonts w:ascii="Times New Roman" w:hAnsi="Times New Roman"/>
          <w:b/>
          <w:color w:val="000000" w:themeColor="text1"/>
          <w:sz w:val="24"/>
          <w:szCs w:val="24"/>
        </w:rPr>
        <w:tab/>
        <w:t>KÜB’ÜN YENİLENMETARİHİ</w:t>
      </w:r>
      <w:r w:rsidRPr="00E82B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31C38" w:rsidRPr="00E82B2D" w:rsidRDefault="00B31C38" w:rsidP="00707138">
      <w:p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2B60" w:rsidRPr="00E82B2D" w:rsidRDefault="003C2B60" w:rsidP="00707138">
      <w:pPr>
        <w:tabs>
          <w:tab w:val="left" w:pos="426"/>
        </w:tabs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3C2B60" w:rsidRPr="00E82B2D" w:rsidSect="00ED09EC">
      <w:endnotePr>
        <w:numFmt w:val="decimal"/>
      </w:endnotePr>
      <w:pgSz w:w="11907" w:h="16840" w:code="9"/>
      <w:pgMar w:top="1701" w:right="1701" w:bottom="1276" w:left="1701" w:header="1701" w:footer="5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F5" w:rsidRDefault="00CC40F5">
      <w:pPr>
        <w:spacing w:line="20" w:lineRule="exact"/>
        <w:rPr>
          <w:sz w:val="24"/>
        </w:rPr>
      </w:pPr>
    </w:p>
  </w:endnote>
  <w:endnote w:type="continuationSeparator" w:id="0">
    <w:p w:rsidR="00CC40F5" w:rsidRDefault="00CC40F5">
      <w:r>
        <w:rPr>
          <w:sz w:val="24"/>
        </w:rPr>
        <w:t xml:space="preserve"> </w:t>
      </w:r>
    </w:p>
  </w:endnote>
  <w:endnote w:type="continuationNotice" w:id="1">
    <w:p w:rsidR="00CC40F5" w:rsidRDefault="00CC40F5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BC" w:rsidRDefault="007F7E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74F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74FBC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874FBC" w:rsidRDefault="00874FB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C" w:rsidRDefault="00ED09EC">
    <w:pPr>
      <w:pStyle w:val="Altbilgi"/>
      <w:jc w:val="right"/>
    </w:pPr>
  </w:p>
  <w:p w:rsidR="00DD37B9" w:rsidRDefault="00DD37B9" w:rsidP="00DD37B9">
    <w:pPr>
      <w:pStyle w:val="Altbilgi"/>
      <w:jc w:val="right"/>
    </w:pPr>
    <w:r>
      <w:t xml:space="preserve">   </w:t>
    </w:r>
    <w:r w:rsidRPr="0074327E">
      <w:t xml:space="preserve">Sayfa </w:t>
    </w:r>
    <w:fldSimple w:instr="PAGE">
      <w:r w:rsidR="00E82B2D">
        <w:rPr>
          <w:noProof/>
        </w:rPr>
        <w:t>1</w:t>
      </w:r>
    </w:fldSimple>
    <w:r w:rsidRPr="0074327E">
      <w:t xml:space="preserve"> / </w:t>
    </w:r>
    <w:fldSimple w:instr="NUMPAGES">
      <w:r w:rsidR="00E82B2D">
        <w:rPr>
          <w:noProof/>
        </w:rPr>
        <w:t>12</w:t>
      </w:r>
    </w:fldSimple>
  </w:p>
  <w:p w:rsidR="00ED09EC" w:rsidRDefault="00ED09EC" w:rsidP="00ED09EC">
    <w:pPr>
      <w:pStyle w:val="Altbilgi"/>
      <w:ind w:right="360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1F27B3" w:rsidRDefault="001F27B3">
    <w:pPr>
      <w:pStyle w:val="Altbilgi"/>
      <w:ind w:right="360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F5" w:rsidRDefault="00CC40F5">
      <w:r>
        <w:rPr>
          <w:sz w:val="24"/>
        </w:rPr>
        <w:separator/>
      </w:r>
    </w:p>
  </w:footnote>
  <w:footnote w:type="continuationSeparator" w:id="0">
    <w:p w:rsidR="00CC40F5" w:rsidRDefault="00CC4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680"/>
    <w:multiLevelType w:val="hybridMultilevel"/>
    <w:tmpl w:val="42FAE3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B0CC6"/>
    <w:multiLevelType w:val="hybridMultilevel"/>
    <w:tmpl w:val="8BCEF714"/>
    <w:lvl w:ilvl="0" w:tplc="3F5E8B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C4CEC0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D57EEE"/>
    <w:multiLevelType w:val="singleLevel"/>
    <w:tmpl w:val="916EA8C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>
    <w:nsid w:val="3D7612DE"/>
    <w:multiLevelType w:val="hybridMultilevel"/>
    <w:tmpl w:val="0890BC18"/>
    <w:lvl w:ilvl="0" w:tplc="89364072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D75B9F"/>
    <w:multiLevelType w:val="hybridMultilevel"/>
    <w:tmpl w:val="DC50A754"/>
    <w:lvl w:ilvl="0" w:tplc="68E0D5C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C57B1"/>
    <w:multiLevelType w:val="singleLevel"/>
    <w:tmpl w:val="55E6D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1A68A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>
    <w:nsid w:val="66B73A12"/>
    <w:multiLevelType w:val="hybridMultilevel"/>
    <w:tmpl w:val="01E039C0"/>
    <w:lvl w:ilvl="0" w:tplc="89364072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8D21202"/>
    <w:multiLevelType w:val="multilevel"/>
    <w:tmpl w:val="004A895A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1">
    <w:nsid w:val="6D720741"/>
    <w:multiLevelType w:val="hybridMultilevel"/>
    <w:tmpl w:val="DF9AB852"/>
    <w:lvl w:ilvl="0" w:tplc="89364072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884E9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>
    <w:nsid w:val="6DFD5C93"/>
    <w:multiLevelType w:val="hybridMultilevel"/>
    <w:tmpl w:val="843454B8"/>
    <w:lvl w:ilvl="0" w:tplc="89364072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80E7D"/>
    <w:rsid w:val="000133EA"/>
    <w:rsid w:val="000135A3"/>
    <w:rsid w:val="00016955"/>
    <w:rsid w:val="00036581"/>
    <w:rsid w:val="00062D00"/>
    <w:rsid w:val="000701FC"/>
    <w:rsid w:val="00091FF4"/>
    <w:rsid w:val="000B4F5B"/>
    <w:rsid w:val="000D7484"/>
    <w:rsid w:val="000E47A6"/>
    <w:rsid w:val="000E5251"/>
    <w:rsid w:val="001005D5"/>
    <w:rsid w:val="00104C71"/>
    <w:rsid w:val="001154A7"/>
    <w:rsid w:val="001269BC"/>
    <w:rsid w:val="00161663"/>
    <w:rsid w:val="00163F2B"/>
    <w:rsid w:val="00170CD8"/>
    <w:rsid w:val="00180F63"/>
    <w:rsid w:val="00194238"/>
    <w:rsid w:val="00194AEB"/>
    <w:rsid w:val="00196CC7"/>
    <w:rsid w:val="001A6E4C"/>
    <w:rsid w:val="001B2706"/>
    <w:rsid w:val="001B5D52"/>
    <w:rsid w:val="001E00F8"/>
    <w:rsid w:val="001E28F5"/>
    <w:rsid w:val="001F0038"/>
    <w:rsid w:val="001F0099"/>
    <w:rsid w:val="001F087D"/>
    <w:rsid w:val="001F27B3"/>
    <w:rsid w:val="001F5F3C"/>
    <w:rsid w:val="001F773C"/>
    <w:rsid w:val="00206B29"/>
    <w:rsid w:val="002126A9"/>
    <w:rsid w:val="00213EB0"/>
    <w:rsid w:val="00222663"/>
    <w:rsid w:val="002274F0"/>
    <w:rsid w:val="002503F6"/>
    <w:rsid w:val="002911D1"/>
    <w:rsid w:val="002A2EC0"/>
    <w:rsid w:val="002A698B"/>
    <w:rsid w:val="002C25C5"/>
    <w:rsid w:val="002C6D3D"/>
    <w:rsid w:val="002E0817"/>
    <w:rsid w:val="002F2330"/>
    <w:rsid w:val="00302201"/>
    <w:rsid w:val="00312126"/>
    <w:rsid w:val="00374394"/>
    <w:rsid w:val="003A3A1D"/>
    <w:rsid w:val="003A3B91"/>
    <w:rsid w:val="003B0CD9"/>
    <w:rsid w:val="003B3536"/>
    <w:rsid w:val="003B3E30"/>
    <w:rsid w:val="003C2B60"/>
    <w:rsid w:val="003C489B"/>
    <w:rsid w:val="003D1B62"/>
    <w:rsid w:val="003E1235"/>
    <w:rsid w:val="003F2BAD"/>
    <w:rsid w:val="0045472A"/>
    <w:rsid w:val="0045475C"/>
    <w:rsid w:val="004669C6"/>
    <w:rsid w:val="00474A32"/>
    <w:rsid w:val="00485054"/>
    <w:rsid w:val="00490507"/>
    <w:rsid w:val="004B3A5C"/>
    <w:rsid w:val="004C03D1"/>
    <w:rsid w:val="004C1320"/>
    <w:rsid w:val="004C53E3"/>
    <w:rsid w:val="004F089B"/>
    <w:rsid w:val="004F16D6"/>
    <w:rsid w:val="00501BC5"/>
    <w:rsid w:val="005048B8"/>
    <w:rsid w:val="005439FD"/>
    <w:rsid w:val="00545369"/>
    <w:rsid w:val="00557303"/>
    <w:rsid w:val="00557C33"/>
    <w:rsid w:val="00572118"/>
    <w:rsid w:val="00575664"/>
    <w:rsid w:val="005775D6"/>
    <w:rsid w:val="00581B56"/>
    <w:rsid w:val="00587BB5"/>
    <w:rsid w:val="005A6226"/>
    <w:rsid w:val="005B4397"/>
    <w:rsid w:val="005C339D"/>
    <w:rsid w:val="005C3478"/>
    <w:rsid w:val="005C38C7"/>
    <w:rsid w:val="005D1B61"/>
    <w:rsid w:val="005E0414"/>
    <w:rsid w:val="005E4F6E"/>
    <w:rsid w:val="005F58AA"/>
    <w:rsid w:val="005F6D3E"/>
    <w:rsid w:val="00601811"/>
    <w:rsid w:val="006330AC"/>
    <w:rsid w:val="00637CB2"/>
    <w:rsid w:val="00643CDB"/>
    <w:rsid w:val="006517CF"/>
    <w:rsid w:val="00655DB0"/>
    <w:rsid w:val="00661365"/>
    <w:rsid w:val="006806D3"/>
    <w:rsid w:val="006870CA"/>
    <w:rsid w:val="006B2A76"/>
    <w:rsid w:val="006D4C2C"/>
    <w:rsid w:val="006F635B"/>
    <w:rsid w:val="00700E71"/>
    <w:rsid w:val="00707138"/>
    <w:rsid w:val="007357B9"/>
    <w:rsid w:val="00735BD3"/>
    <w:rsid w:val="00740920"/>
    <w:rsid w:val="00743AB1"/>
    <w:rsid w:val="0075736A"/>
    <w:rsid w:val="00761398"/>
    <w:rsid w:val="00780E7D"/>
    <w:rsid w:val="00781710"/>
    <w:rsid w:val="00783039"/>
    <w:rsid w:val="00783396"/>
    <w:rsid w:val="00785AB1"/>
    <w:rsid w:val="00795AE1"/>
    <w:rsid w:val="00797923"/>
    <w:rsid w:val="007A6452"/>
    <w:rsid w:val="007B11B0"/>
    <w:rsid w:val="007D265D"/>
    <w:rsid w:val="007F7E2C"/>
    <w:rsid w:val="008065AA"/>
    <w:rsid w:val="0081090C"/>
    <w:rsid w:val="008150E1"/>
    <w:rsid w:val="008330E6"/>
    <w:rsid w:val="00836337"/>
    <w:rsid w:val="00844FA7"/>
    <w:rsid w:val="00854616"/>
    <w:rsid w:val="00863827"/>
    <w:rsid w:val="00874FBC"/>
    <w:rsid w:val="008D317B"/>
    <w:rsid w:val="0090041E"/>
    <w:rsid w:val="009008FF"/>
    <w:rsid w:val="00901E38"/>
    <w:rsid w:val="009051FD"/>
    <w:rsid w:val="00914A18"/>
    <w:rsid w:val="009325FA"/>
    <w:rsid w:val="00933494"/>
    <w:rsid w:val="00934595"/>
    <w:rsid w:val="00942453"/>
    <w:rsid w:val="009514D4"/>
    <w:rsid w:val="00960F6A"/>
    <w:rsid w:val="00961204"/>
    <w:rsid w:val="009764A1"/>
    <w:rsid w:val="009940E4"/>
    <w:rsid w:val="009B2F9B"/>
    <w:rsid w:val="009C5FC2"/>
    <w:rsid w:val="009E039B"/>
    <w:rsid w:val="009E1064"/>
    <w:rsid w:val="00A047BE"/>
    <w:rsid w:val="00A0483C"/>
    <w:rsid w:val="00A04C3D"/>
    <w:rsid w:val="00A3147C"/>
    <w:rsid w:val="00A64B3E"/>
    <w:rsid w:val="00A64DB9"/>
    <w:rsid w:val="00A66E33"/>
    <w:rsid w:val="00A84226"/>
    <w:rsid w:val="00A87AED"/>
    <w:rsid w:val="00A9162E"/>
    <w:rsid w:val="00A921C4"/>
    <w:rsid w:val="00A94509"/>
    <w:rsid w:val="00A95877"/>
    <w:rsid w:val="00AA31E4"/>
    <w:rsid w:val="00AB1682"/>
    <w:rsid w:val="00AB3213"/>
    <w:rsid w:val="00AE569E"/>
    <w:rsid w:val="00AE63CE"/>
    <w:rsid w:val="00B03540"/>
    <w:rsid w:val="00B1501A"/>
    <w:rsid w:val="00B226AB"/>
    <w:rsid w:val="00B25D47"/>
    <w:rsid w:val="00B31C38"/>
    <w:rsid w:val="00B459D3"/>
    <w:rsid w:val="00B7510A"/>
    <w:rsid w:val="00B90C1A"/>
    <w:rsid w:val="00B94C43"/>
    <w:rsid w:val="00BA687E"/>
    <w:rsid w:val="00BA7D38"/>
    <w:rsid w:val="00BC04B6"/>
    <w:rsid w:val="00BC5F41"/>
    <w:rsid w:val="00BD161C"/>
    <w:rsid w:val="00BF736E"/>
    <w:rsid w:val="00C22EE4"/>
    <w:rsid w:val="00C32BBD"/>
    <w:rsid w:val="00C51340"/>
    <w:rsid w:val="00C51E47"/>
    <w:rsid w:val="00C53266"/>
    <w:rsid w:val="00C57802"/>
    <w:rsid w:val="00C70CAA"/>
    <w:rsid w:val="00C822CE"/>
    <w:rsid w:val="00C83A47"/>
    <w:rsid w:val="00CB2586"/>
    <w:rsid w:val="00CB74A3"/>
    <w:rsid w:val="00CC40F5"/>
    <w:rsid w:val="00CD4106"/>
    <w:rsid w:val="00CE1EB5"/>
    <w:rsid w:val="00D01FD5"/>
    <w:rsid w:val="00D04711"/>
    <w:rsid w:val="00D07F59"/>
    <w:rsid w:val="00D11158"/>
    <w:rsid w:val="00D2066C"/>
    <w:rsid w:val="00D209F5"/>
    <w:rsid w:val="00D21F39"/>
    <w:rsid w:val="00D31C71"/>
    <w:rsid w:val="00D33544"/>
    <w:rsid w:val="00D42989"/>
    <w:rsid w:val="00D4681C"/>
    <w:rsid w:val="00D81ED3"/>
    <w:rsid w:val="00DA0598"/>
    <w:rsid w:val="00DA23AF"/>
    <w:rsid w:val="00DA34FA"/>
    <w:rsid w:val="00DB3605"/>
    <w:rsid w:val="00DB7F62"/>
    <w:rsid w:val="00DC1707"/>
    <w:rsid w:val="00DC4372"/>
    <w:rsid w:val="00DD37B9"/>
    <w:rsid w:val="00DF316F"/>
    <w:rsid w:val="00DF5B20"/>
    <w:rsid w:val="00E071F8"/>
    <w:rsid w:val="00E32006"/>
    <w:rsid w:val="00E36E12"/>
    <w:rsid w:val="00E4356D"/>
    <w:rsid w:val="00E535B9"/>
    <w:rsid w:val="00E562F6"/>
    <w:rsid w:val="00E61CF9"/>
    <w:rsid w:val="00E82B2D"/>
    <w:rsid w:val="00E9614E"/>
    <w:rsid w:val="00EA079D"/>
    <w:rsid w:val="00EC6D24"/>
    <w:rsid w:val="00ED09EC"/>
    <w:rsid w:val="00EE165E"/>
    <w:rsid w:val="00EE390E"/>
    <w:rsid w:val="00EE59AF"/>
    <w:rsid w:val="00EF23AF"/>
    <w:rsid w:val="00EF27A3"/>
    <w:rsid w:val="00EF6CF9"/>
    <w:rsid w:val="00F052C0"/>
    <w:rsid w:val="00F06BFA"/>
    <w:rsid w:val="00F106CE"/>
    <w:rsid w:val="00F1778F"/>
    <w:rsid w:val="00F23B3A"/>
    <w:rsid w:val="00F252BD"/>
    <w:rsid w:val="00F27584"/>
    <w:rsid w:val="00F3319B"/>
    <w:rsid w:val="00F338F0"/>
    <w:rsid w:val="00F4201E"/>
    <w:rsid w:val="00F42FAA"/>
    <w:rsid w:val="00F54F44"/>
    <w:rsid w:val="00F67834"/>
    <w:rsid w:val="00F70134"/>
    <w:rsid w:val="00F7724F"/>
    <w:rsid w:val="00F8773D"/>
    <w:rsid w:val="00FA7648"/>
    <w:rsid w:val="00FB3460"/>
    <w:rsid w:val="00FD5747"/>
    <w:rsid w:val="00FE0EF3"/>
    <w:rsid w:val="00FE3681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19B"/>
    <w:rPr>
      <w:rFonts w:ascii="Swiss" w:hAnsi="Swiss"/>
      <w:lang w:eastAsia="ja-JP"/>
    </w:rPr>
  </w:style>
  <w:style w:type="paragraph" w:styleId="Balk1">
    <w:name w:val="heading 1"/>
    <w:basedOn w:val="Normal"/>
    <w:next w:val="Normal"/>
    <w:qFormat/>
    <w:rsid w:val="00F3319B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0"/>
    </w:pPr>
    <w:rPr>
      <w:rFonts w:ascii="Arial (WT)" w:hAnsi="Arial (WT)"/>
      <w:spacing w:val="-2"/>
      <w:sz w:val="24"/>
    </w:rPr>
  </w:style>
  <w:style w:type="paragraph" w:styleId="Balk2">
    <w:name w:val="heading 2"/>
    <w:basedOn w:val="Normal"/>
    <w:next w:val="Normal"/>
    <w:qFormat/>
    <w:rsid w:val="00F3319B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1"/>
    </w:pPr>
    <w:rPr>
      <w:rFonts w:ascii="Arial (WT)" w:hAnsi="Arial (WT)"/>
      <w:spacing w:val="-2"/>
      <w:sz w:val="22"/>
      <w:u w:val="single"/>
    </w:rPr>
  </w:style>
  <w:style w:type="paragraph" w:styleId="Balk3">
    <w:name w:val="heading 3"/>
    <w:basedOn w:val="Normal"/>
    <w:next w:val="Normal"/>
    <w:qFormat/>
    <w:rsid w:val="00F3319B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412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84" w:hanging="284"/>
      <w:jc w:val="both"/>
      <w:outlineLvl w:val="2"/>
    </w:pPr>
    <w:rPr>
      <w:rFonts w:ascii="Arial (WT)" w:hAnsi="Arial (WT)"/>
      <w:spacing w:val="-2"/>
      <w:sz w:val="24"/>
    </w:rPr>
  </w:style>
  <w:style w:type="paragraph" w:styleId="Balk6">
    <w:name w:val="heading 6"/>
    <w:basedOn w:val="Normal"/>
    <w:next w:val="Normal"/>
    <w:qFormat/>
    <w:rsid w:val="00F42F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F3319B"/>
    <w:rPr>
      <w:sz w:val="24"/>
    </w:rPr>
  </w:style>
  <w:style w:type="character" w:styleId="SonnotBavurusu">
    <w:name w:val="endnote reference"/>
    <w:basedOn w:val="VarsaylanParagrafYazTipi"/>
    <w:semiHidden/>
    <w:rsid w:val="00F3319B"/>
    <w:rPr>
      <w:vertAlign w:val="superscript"/>
    </w:rPr>
  </w:style>
  <w:style w:type="paragraph" w:styleId="DipnotMetni">
    <w:name w:val="footnote text"/>
    <w:basedOn w:val="Normal"/>
    <w:semiHidden/>
    <w:rsid w:val="00F3319B"/>
    <w:rPr>
      <w:sz w:val="24"/>
    </w:rPr>
  </w:style>
  <w:style w:type="character" w:styleId="DipnotBavurusu">
    <w:name w:val="footnote reference"/>
    <w:basedOn w:val="VarsaylanParagrafYazTipi"/>
    <w:semiHidden/>
    <w:rsid w:val="00F3319B"/>
    <w:rPr>
      <w:vertAlign w:val="superscript"/>
    </w:rPr>
  </w:style>
  <w:style w:type="paragraph" w:styleId="T1">
    <w:name w:val="toc 1"/>
    <w:basedOn w:val="Normal"/>
    <w:next w:val="Normal"/>
    <w:semiHidden/>
    <w:rsid w:val="00F3319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2">
    <w:name w:val="toc 2"/>
    <w:basedOn w:val="Normal"/>
    <w:next w:val="Normal"/>
    <w:semiHidden/>
    <w:rsid w:val="00F3319B"/>
    <w:pPr>
      <w:tabs>
        <w:tab w:val="right" w:leader="do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F3319B"/>
    <w:pPr>
      <w:tabs>
        <w:tab w:val="right" w:leader="do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F3319B"/>
    <w:pPr>
      <w:tabs>
        <w:tab w:val="right" w:leader="do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F3319B"/>
    <w:pPr>
      <w:tabs>
        <w:tab w:val="right" w:leader="dot" w:pos="9360"/>
      </w:tabs>
      <w:suppressAutoHyphens/>
      <w:ind w:left="3600" w:right="720" w:hanging="720"/>
    </w:pPr>
  </w:style>
  <w:style w:type="paragraph" w:styleId="T6">
    <w:name w:val="toc 6"/>
    <w:basedOn w:val="Normal"/>
    <w:next w:val="Normal"/>
    <w:semiHidden/>
    <w:rsid w:val="00F3319B"/>
    <w:pPr>
      <w:tabs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F3319B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F3319B"/>
    <w:pPr>
      <w:tabs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F3319B"/>
    <w:pPr>
      <w:tabs>
        <w:tab w:val="right" w:leader="dot" w:pos="9360"/>
      </w:tabs>
      <w:suppressAutoHyphens/>
      <w:ind w:left="720" w:hanging="720"/>
    </w:pPr>
  </w:style>
  <w:style w:type="paragraph" w:styleId="Dizin1">
    <w:name w:val="index 1"/>
    <w:basedOn w:val="Normal"/>
    <w:next w:val="Normal"/>
    <w:semiHidden/>
    <w:rsid w:val="00F3319B"/>
    <w:pPr>
      <w:tabs>
        <w:tab w:val="right" w:leader="do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F3319B"/>
    <w:pPr>
      <w:tabs>
        <w:tab w:val="right" w:leader="do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F3319B"/>
    <w:pPr>
      <w:tabs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F3319B"/>
    <w:rPr>
      <w:sz w:val="24"/>
    </w:rPr>
  </w:style>
  <w:style w:type="character" w:customStyle="1" w:styleId="EquationCaption">
    <w:name w:val="_Equation Caption"/>
    <w:rsid w:val="00F3319B"/>
  </w:style>
  <w:style w:type="paragraph" w:styleId="stbilgi">
    <w:name w:val="header"/>
    <w:basedOn w:val="Normal"/>
    <w:rsid w:val="00F3319B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F3319B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F3319B"/>
  </w:style>
  <w:style w:type="paragraph" w:styleId="GvdeMetni">
    <w:name w:val="Body Text"/>
    <w:basedOn w:val="Normal"/>
    <w:rsid w:val="00F3319B"/>
    <w:pPr>
      <w:suppressAutoHyphens/>
      <w:jc w:val="both"/>
    </w:pPr>
    <w:rPr>
      <w:rFonts w:ascii="Arial (WT)" w:hAnsi="Arial (WT)"/>
      <w:spacing w:val="-2"/>
      <w:sz w:val="24"/>
    </w:rPr>
  </w:style>
  <w:style w:type="paragraph" w:styleId="GvdeMetni3">
    <w:name w:val="Body Text 3"/>
    <w:basedOn w:val="Normal"/>
    <w:rsid w:val="00F3319B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paragraph" w:styleId="GvdeMetniGirintisi">
    <w:name w:val="Body Text Indent"/>
    <w:basedOn w:val="Normal"/>
    <w:rsid w:val="00F3319B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40"/>
      <w:jc w:val="both"/>
    </w:pPr>
    <w:rPr>
      <w:rFonts w:ascii="Arial (WT)" w:hAnsi="Arial (WT)"/>
      <w:spacing w:val="-2"/>
      <w:sz w:val="24"/>
    </w:rPr>
  </w:style>
  <w:style w:type="paragraph" w:styleId="GvdeMetni2">
    <w:name w:val="Body Text 2"/>
    <w:basedOn w:val="Normal"/>
    <w:rsid w:val="00F3319B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</w:pPr>
    <w:rPr>
      <w:rFonts w:ascii="Arial (WT)" w:hAnsi="Arial (WT)"/>
      <w:spacing w:val="-2"/>
      <w:sz w:val="24"/>
      <w:u w:val="single"/>
    </w:rPr>
  </w:style>
  <w:style w:type="paragraph" w:styleId="GvdeMetniGirintisi3">
    <w:name w:val="Body Text Indent 3"/>
    <w:basedOn w:val="Normal"/>
    <w:rsid w:val="00BA687E"/>
    <w:pPr>
      <w:spacing w:after="120"/>
      <w:ind w:left="283"/>
    </w:pPr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B31C3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B31C38"/>
    <w:rPr>
      <w:rFonts w:ascii="Swiss" w:hAnsi="Swiss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1F27B3"/>
    <w:rPr>
      <w:rFonts w:ascii="Swiss" w:hAnsi="Swiss"/>
      <w:lang w:eastAsia="ja-JP"/>
    </w:rPr>
  </w:style>
  <w:style w:type="character" w:styleId="Kpr">
    <w:name w:val="Hyperlink"/>
    <w:basedOn w:val="VarsaylanParagrafYazTipi"/>
    <w:rsid w:val="0055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9C06-65DF-4635-86CC-3E5C7CAC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2597</Words>
  <Characters>19363</Characters>
  <Application>Microsoft Office Word</Application>
  <DocSecurity>0</DocSecurity>
  <Lines>161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 AG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gcote</dc:creator>
  <cp:keywords/>
  <dc:description>Ref:CDS 2.0_x000d_
Onay: 07.06.2007</dc:description>
  <cp:lastModifiedBy>egungor</cp:lastModifiedBy>
  <cp:revision>29</cp:revision>
  <cp:lastPrinted>2014-08-20T06:39:00Z</cp:lastPrinted>
  <dcterms:created xsi:type="dcterms:W3CDTF">2010-09-01T07:34:00Z</dcterms:created>
  <dcterms:modified xsi:type="dcterms:W3CDTF">2014-09-04T07:57:00Z</dcterms:modified>
</cp:coreProperties>
</file>