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10" w:rsidRPr="005157EC" w:rsidRDefault="004226D9">
      <w:pPr>
        <w:tabs>
          <w:tab w:val="left" w:pos="1949"/>
        </w:tabs>
        <w:spacing w:line="360" w:lineRule="auto"/>
        <w:jc w:val="center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KISA ÜRÜN BİLGİSİ</w:t>
      </w:r>
    </w:p>
    <w:p w:rsidR="000246EB" w:rsidRPr="005157EC" w:rsidRDefault="000246EB">
      <w:pPr>
        <w:tabs>
          <w:tab w:val="left" w:pos="1949"/>
        </w:tabs>
        <w:spacing w:line="360" w:lineRule="auto"/>
        <w:jc w:val="center"/>
        <w:rPr>
          <w:rFonts w:ascii="Times New Roman" w:hAnsi="Times New Roman"/>
          <w:szCs w:val="22"/>
          <w:lang w:val="tr-TR"/>
        </w:rPr>
      </w:pPr>
    </w:p>
    <w:p w:rsidR="00417B4A" w:rsidRPr="005157EC" w:rsidRDefault="00417B4A" w:rsidP="00417B4A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1. BEŞERİ TIBBİ ÜRÜNÜN ADI </w:t>
      </w:r>
    </w:p>
    <w:p w:rsidR="00111577" w:rsidRPr="005157EC" w:rsidRDefault="00111577" w:rsidP="0011157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DİAZEM 10 mg/2ml İ.M./İ.V. Ampul</w:t>
      </w:r>
    </w:p>
    <w:p w:rsidR="00A145EC" w:rsidRPr="005157EC" w:rsidRDefault="00A145EC" w:rsidP="00417B4A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73510" w:rsidRPr="005157EC" w:rsidRDefault="00580CD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lang w:val="tr-TR"/>
        </w:rPr>
        <w:t>2</w:t>
      </w:r>
      <w:r w:rsidR="00417B4A"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 KALİTATİF VE KANTİTATİF BİLEŞİM</w:t>
      </w:r>
    </w:p>
    <w:p w:rsidR="00973510" w:rsidRPr="005157EC" w:rsidRDefault="00BC471D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Her </w:t>
      </w:r>
      <w:r w:rsidR="00421B38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ml’lik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ampul;</w:t>
      </w:r>
    </w:p>
    <w:p w:rsidR="001F6A0C" w:rsidRPr="005157EC" w:rsidRDefault="001F6A0C" w:rsidP="00953661">
      <w:pPr>
        <w:spacing w:line="360" w:lineRule="auto"/>
        <w:ind w:right="-108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Etkin madde: </w:t>
      </w:r>
    </w:p>
    <w:p w:rsidR="00973510" w:rsidRPr="005157EC" w:rsidRDefault="00421B38">
      <w:pPr>
        <w:spacing w:line="360" w:lineRule="auto"/>
        <w:ind w:right="-108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1F6A0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1F6A0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1F6A0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1F6A0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034835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034835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="00071081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 </w:t>
      </w:r>
      <w:proofErr w:type="gramStart"/>
      <w:r w:rsidR="001F6A0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10</w:t>
      </w:r>
      <w:r w:rsidR="00034835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.0</w:t>
      </w:r>
      <w:proofErr w:type="gramEnd"/>
      <w:r w:rsidR="001F6A0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</w:t>
      </w:r>
    </w:p>
    <w:p w:rsidR="005742D3" w:rsidRPr="005157EC" w:rsidRDefault="001F6A0C" w:rsidP="00953661">
      <w:pPr>
        <w:spacing w:line="360" w:lineRule="auto"/>
        <w:ind w:right="-108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Yardımcı maddeler:</w:t>
      </w:r>
    </w:p>
    <w:p w:rsidR="001F6A0C" w:rsidRPr="005157EC" w:rsidRDefault="001F6A0C" w:rsidP="00953661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Propilen</w:t>
      </w:r>
      <w:proofErr w:type="spell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glikol</w:t>
      </w:r>
      <w:r w:rsidR="001A6148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1A6148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1A6148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1A6148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1A6148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proofErr w:type="gram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828.0</w:t>
      </w:r>
      <w:proofErr w:type="gram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mg</w:t>
      </w:r>
    </w:p>
    <w:p w:rsidR="001F6A0C" w:rsidRPr="005157EC" w:rsidRDefault="001F6A0C" w:rsidP="00953661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Etil alkol</w:t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proofErr w:type="gram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170.8</w:t>
      </w:r>
      <w:proofErr w:type="gram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mg</w:t>
      </w:r>
    </w:p>
    <w:p w:rsidR="001F6A0C" w:rsidRPr="005157EC" w:rsidRDefault="001F6A0C" w:rsidP="00953661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Sodyum </w:t>
      </w:r>
      <w:proofErr w:type="spell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benzoat</w:t>
      </w:r>
      <w:proofErr w:type="spellEnd"/>
      <w:r w:rsidR="00F6081D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F6081D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F6081D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F6081D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F6081D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1A6148"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 </w:t>
      </w:r>
      <w:proofErr w:type="gram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96.0</w:t>
      </w:r>
      <w:proofErr w:type="gram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mg</w:t>
      </w:r>
    </w:p>
    <w:p w:rsidR="001F6A0C" w:rsidRPr="005157EC" w:rsidRDefault="00F6081D" w:rsidP="00953661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Benzoik</w:t>
      </w:r>
      <w:proofErr w:type="spell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asit</w:t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1A6148"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   </w:t>
      </w:r>
      <w:proofErr w:type="gramStart"/>
      <w:r w:rsidR="001F6A0C" w:rsidRPr="005157EC">
        <w:rPr>
          <w:rFonts w:ascii="Times New Roman" w:hAnsi="Times New Roman"/>
          <w:spacing w:val="0"/>
          <w:sz w:val="24"/>
          <w:szCs w:val="24"/>
          <w:lang w:val="tr-TR"/>
        </w:rPr>
        <w:t>3.7</w:t>
      </w:r>
      <w:proofErr w:type="gramEnd"/>
      <w:r w:rsidR="001F6A0C"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mg</w:t>
      </w:r>
    </w:p>
    <w:p w:rsidR="001F6A0C" w:rsidRPr="005157EC" w:rsidRDefault="001F6A0C" w:rsidP="00953661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Benzil</w:t>
      </w:r>
      <w:proofErr w:type="spell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alkol      </w:t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1A6148"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 </w:t>
      </w:r>
      <w:proofErr w:type="gram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31.4</w:t>
      </w:r>
      <w:proofErr w:type="gram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mg</w:t>
      </w:r>
    </w:p>
    <w:p w:rsidR="001F6A0C" w:rsidRPr="005157EC" w:rsidRDefault="001A6148" w:rsidP="00953661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Hidroklorik asit</w:t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  <w:t xml:space="preserve">        </w:t>
      </w:r>
      <w:proofErr w:type="spellStart"/>
      <w:r w:rsidR="001F6A0C" w:rsidRPr="005157EC">
        <w:rPr>
          <w:rFonts w:ascii="Times New Roman" w:hAnsi="Times New Roman"/>
          <w:spacing w:val="0"/>
          <w:sz w:val="24"/>
          <w:szCs w:val="24"/>
          <w:lang w:val="tr-TR"/>
        </w:rPr>
        <w:t>pH</w:t>
      </w:r>
      <w:proofErr w:type="spellEnd"/>
      <w:r w:rsidR="001F6A0C" w:rsidRPr="005157EC">
        <w:rPr>
          <w:rFonts w:ascii="Times New Roman" w:hAnsi="Times New Roman"/>
          <w:spacing w:val="0"/>
          <w:sz w:val="24"/>
          <w:szCs w:val="24"/>
          <w:lang w:val="tr-TR"/>
        </w:rPr>
        <w:t>:</w:t>
      </w:r>
      <w:r w:rsidR="00FC449E"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</w:t>
      </w:r>
      <w:proofErr w:type="gramStart"/>
      <w:r w:rsidR="001F6A0C" w:rsidRPr="005157EC">
        <w:rPr>
          <w:rFonts w:ascii="Times New Roman" w:hAnsi="Times New Roman"/>
          <w:spacing w:val="0"/>
          <w:sz w:val="24"/>
          <w:szCs w:val="24"/>
          <w:lang w:val="tr-TR"/>
        </w:rPr>
        <w:t>6.2</w:t>
      </w:r>
      <w:proofErr w:type="gramEnd"/>
      <w:r w:rsidR="001F6A0C" w:rsidRPr="005157EC">
        <w:rPr>
          <w:rFonts w:ascii="Times New Roman" w:hAnsi="Times New Roman"/>
          <w:spacing w:val="0"/>
          <w:sz w:val="24"/>
          <w:szCs w:val="24"/>
          <w:lang w:val="tr-TR"/>
        </w:rPr>
        <w:t>-7.0</w:t>
      </w:r>
    </w:p>
    <w:p w:rsidR="00973510" w:rsidRPr="005157EC" w:rsidRDefault="002449E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Yardımcı maddeler için, </w:t>
      </w:r>
      <w:proofErr w:type="gram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6.1</w:t>
      </w:r>
      <w:r w:rsidR="001F6A0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’e</w:t>
      </w:r>
      <w:proofErr w:type="gramEnd"/>
      <w:r w:rsidR="001F6A0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bakınız.</w:t>
      </w:r>
      <w:r w:rsidR="00007A15"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</w:p>
    <w:p w:rsidR="00A145EC" w:rsidRPr="005157EC" w:rsidRDefault="00A145EC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</w:p>
    <w:p w:rsidR="002449E8" w:rsidRPr="005157EC" w:rsidRDefault="00007A15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3. FARMASÖTİK FORM</w:t>
      </w:r>
    </w:p>
    <w:p w:rsidR="002449E8" w:rsidRPr="005157EC" w:rsidRDefault="0051529C" w:rsidP="0095366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Enjeksiyonluk çözelti</w:t>
      </w:r>
    </w:p>
    <w:p w:rsidR="00973510" w:rsidRPr="005157EC" w:rsidRDefault="005742D3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Hemen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hemen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</w:t>
      </w:r>
      <w:r w:rsidR="00B4425F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enksiz</w:t>
      </w:r>
      <w:r w:rsidR="00BF797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r w:rsidR="00421B38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açık sarı renkli, karakteristik kokulu, </w:t>
      </w:r>
      <w:r w:rsidR="00B4425F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berrak </w:t>
      </w:r>
      <w:r w:rsidR="0051529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çözelti</w:t>
      </w:r>
    </w:p>
    <w:p w:rsidR="00A145EC" w:rsidRPr="005157EC" w:rsidRDefault="00A145EC" w:rsidP="0095366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007A15" w:rsidRPr="005157EC" w:rsidRDefault="00007A15" w:rsidP="0095366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 KLİNİK ÖZELLİKLERİ</w:t>
      </w:r>
    </w:p>
    <w:p w:rsidR="002449E8" w:rsidRPr="005157EC" w:rsidRDefault="00007A15" w:rsidP="0095366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4.1. </w:t>
      </w:r>
      <w:proofErr w:type="spellStart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endikasyonları</w:t>
      </w:r>
      <w:proofErr w:type="spellEnd"/>
    </w:p>
    <w:p w:rsidR="00A145EC" w:rsidRPr="005157EC" w:rsidRDefault="00A145EC" w:rsidP="00A145EC">
      <w:pPr>
        <w:pStyle w:val="ListeParagraf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DİAZEM;</w:t>
      </w:r>
    </w:p>
    <w:p w:rsidR="00A145EC" w:rsidRPr="005157EC" w:rsidRDefault="00A145EC" w:rsidP="00A145EC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Orta ve ileri 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derecede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psikonörotik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reaksiyonlarda</w:t>
      </w:r>
    </w:p>
    <w:p w:rsidR="00A145EC" w:rsidRPr="005157EC" w:rsidRDefault="00A145EC" w:rsidP="00A145EC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Alkol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abstinansı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sendromunda</w:t>
      </w:r>
    </w:p>
    <w:p w:rsidR="00A145EC" w:rsidRPr="005157EC" w:rsidRDefault="00A145EC" w:rsidP="00A145EC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Adale spazmlarını gidermek için</w:t>
      </w:r>
    </w:p>
    <w:p w:rsidR="00A145EC" w:rsidRPr="005157EC" w:rsidRDefault="00A145EC" w:rsidP="00A145EC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Endoskopik işlemlerden önce</w:t>
      </w:r>
    </w:p>
    <w:p w:rsidR="00A145EC" w:rsidRPr="005157EC" w:rsidRDefault="00A145EC" w:rsidP="00A145EC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Status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epileptikus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nükseden ağır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konvülsif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nöbetlerde</w:t>
      </w:r>
    </w:p>
    <w:p w:rsidR="00A145EC" w:rsidRPr="005157EC" w:rsidRDefault="00A145EC" w:rsidP="00A145EC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Preoperatif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medikasyonda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kullanılır.</w:t>
      </w:r>
    </w:p>
    <w:p w:rsidR="00A145EC" w:rsidRPr="005157EC" w:rsidRDefault="00A145EC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</w:p>
    <w:p w:rsidR="00EB2D1D" w:rsidRPr="005157EC" w:rsidRDefault="00EB2D1D" w:rsidP="00007A15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</w:p>
    <w:p w:rsidR="00EB2D1D" w:rsidRPr="005157EC" w:rsidRDefault="00EB2D1D" w:rsidP="00007A15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</w:p>
    <w:p w:rsidR="00EB2D1D" w:rsidRPr="005157EC" w:rsidRDefault="00EB2D1D" w:rsidP="00007A15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</w:p>
    <w:p w:rsidR="00007A15" w:rsidRPr="005157EC" w:rsidRDefault="00007A15" w:rsidP="00007A15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lastRenderedPageBreak/>
        <w:t xml:space="preserve">4.2. </w:t>
      </w:r>
      <w:proofErr w:type="spellStart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ve uygulama şekli</w:t>
      </w:r>
    </w:p>
    <w:p w:rsidR="00973510" w:rsidRPr="005157EC" w:rsidRDefault="00007A1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proofErr w:type="spellStart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/uygulama sıklığı ve süresi</w:t>
      </w:r>
      <w:r w:rsidR="00580CD3" w:rsidRPr="005157EC">
        <w:rPr>
          <w:rFonts w:ascii="Times New Roman" w:hAnsi="Times New Roman"/>
          <w:b/>
          <w:spacing w:val="0"/>
          <w:position w:val="0"/>
          <w:sz w:val="24"/>
          <w:lang w:val="tr-TR"/>
        </w:rPr>
        <w:t>:</w:t>
      </w:r>
    </w:p>
    <w:p w:rsidR="00F01AFE" w:rsidRPr="005157EC" w:rsidRDefault="00580CD3" w:rsidP="00953661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Orta </w:t>
      </w:r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derecede </w:t>
      </w:r>
      <w:proofErr w:type="spellStart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psikonörotik</w:t>
      </w:r>
      <w:proofErr w:type="spellEnd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reaksiyonlarda</w:t>
      </w:r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</w:p>
    <w:p w:rsidR="00973510" w:rsidRPr="005157EC" w:rsidRDefault="003E6A90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Sadece gerginlik-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anksiete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veya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depresif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belirtiler, ajitasyon, huzursuzluk ve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psikofizyolojik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rahatsızlıklarla kendini gösteren durumlarda 2-5 mg İ.M. veya İ.V. olarak verilir ve bu doz gerekirse 3-4 saatte bir tekrar edilir.</w:t>
      </w:r>
    </w:p>
    <w:p w:rsidR="00F01AFE" w:rsidRPr="005157EC" w:rsidRDefault="00580CD3" w:rsidP="00953661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İleri </w:t>
      </w:r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derecede </w:t>
      </w:r>
      <w:proofErr w:type="spellStart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psikonörotik</w:t>
      </w:r>
      <w:proofErr w:type="spellEnd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reaksiyonlarda</w:t>
      </w:r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</w:p>
    <w:p w:rsidR="00973510" w:rsidRPr="005157EC" w:rsidRDefault="003E6A90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Depressif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belirtiler ile birlikte veya tek başına görülen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anksiete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endişe ve ajitasyon hallerinde İ.M. veya İ.V. olarak 5-10 mg verilir. Bu doz gerekirse 3-4 saatte bir tekrar edilir.</w:t>
      </w:r>
    </w:p>
    <w:p w:rsidR="00F01AFE" w:rsidRPr="005157EC" w:rsidRDefault="00580CD3" w:rsidP="00953661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Alkol </w:t>
      </w:r>
      <w:proofErr w:type="spellStart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abstinansı</w:t>
      </w:r>
      <w:proofErr w:type="spellEnd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sendromunda</w:t>
      </w:r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 </w:t>
      </w:r>
    </w:p>
    <w:p w:rsidR="00973510" w:rsidRPr="005157EC" w:rsidRDefault="003E6A90">
      <w:pPr>
        <w:pStyle w:val="ListeParagraf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Akut ajitasyon, tremor,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delirium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tremens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halusinasyonların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önlenmesinde ve tablo teşekkül ettikten sonra semptomların giderilmesinde İ.M. veya İ.V. yoldan 10 mg olarak verilir. Bu doz gerekirse 3-4 saatte bir tekrarlanabilir.</w:t>
      </w:r>
    </w:p>
    <w:p w:rsidR="00F01AFE" w:rsidRPr="005157EC" w:rsidRDefault="00580CD3" w:rsidP="00953661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Adale </w:t>
      </w:r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spazmlarını gidermek için</w:t>
      </w:r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</w:t>
      </w:r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973510" w:rsidRPr="005157EC" w:rsidRDefault="0040596E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Önce 5-10 mg </w:t>
      </w:r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İ.M. veya İ.V. olarak verilir ve bu doz, gerekirse 3-4 saatte bir tekrar edilebilir. </w:t>
      </w:r>
      <w:proofErr w:type="spellStart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Tetanozda</w:t>
      </w:r>
      <w:proofErr w:type="spellEnd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daha yüksek dozlar gerekebilir.</w:t>
      </w:r>
    </w:p>
    <w:p w:rsidR="00F01AFE" w:rsidRPr="005157EC" w:rsidRDefault="00580CD3" w:rsidP="00953661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Endoskopik </w:t>
      </w:r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işlemlerden önce</w:t>
      </w:r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</w:p>
    <w:p w:rsidR="00973510" w:rsidRPr="005157EC" w:rsidRDefault="003E6A90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Prosedürden hemen önce İ.V. yoldan çok yavaş olarak, arzu edilen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sedasyon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sağlanana kadar verilir. Genellikle 10 mg yeterli olur ancak birlikte narkotik ilaçlar kullanılmıyorsa bu doz 20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mg’a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kadar arttırılabilir. İ.V. uygulamanın mümkün olmadığı hallerde endoskopiden 30 dakika önce İ.M. yoldan 5-10 mg olarak verilmelidir.</w:t>
      </w:r>
    </w:p>
    <w:p w:rsidR="00973510" w:rsidRPr="005157EC" w:rsidRDefault="003E6A90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Birlikte narkotiklerin kullanılması halinde bu ilaçların dozu en az 1/3 oranında azaltılmalıdır.</w:t>
      </w:r>
    </w:p>
    <w:p w:rsidR="00F01AFE" w:rsidRPr="005157EC" w:rsidRDefault="00580CD3" w:rsidP="00953661">
      <w:pPr>
        <w:pStyle w:val="ListeParagraf"/>
        <w:numPr>
          <w:ilvl w:val="3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Status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epileptikus</w:t>
      </w:r>
      <w:proofErr w:type="spellEnd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nükseden ağır </w:t>
      </w:r>
      <w:proofErr w:type="spellStart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konvülsif</w:t>
      </w:r>
      <w:proofErr w:type="spellEnd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nöbetlerde</w:t>
      </w:r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 </w:t>
      </w:r>
    </w:p>
    <w:p w:rsidR="00973510" w:rsidRPr="005157EC" w:rsidRDefault="003E6A90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İ.V. uygulama tercih edilir ancak bu mümkün değilse İ.M. yoldan da tatbik edilebilir. İ.V. uygulama çok yavaş olarak yapılmalıdır. Başlangıçta 5-10 mg verilir. Bu doz gereğinde 10-15 dakikada bir tekrarlanabilir ancak verilen toplam doz 30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mg’ı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aşmamalıdır. Gereğinde tedavi 2-3 saatte bir tekrarlanabilir ancak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Diazepam’ın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aktif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metabolitlerinin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organizmada mevcut olabileceği göz önünde tutulmalıdır.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Kardiovasküler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rahatsızlıkları ve kronik akciğer hastalıkları olanlarda çok dikkatli davranılmalıdır.</w:t>
      </w:r>
    </w:p>
    <w:p w:rsidR="00F01AFE" w:rsidRPr="005157EC" w:rsidRDefault="00580CD3" w:rsidP="00953661">
      <w:pPr>
        <w:pStyle w:val="ListeParagraf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Preoperatif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</w:t>
      </w:r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edikasyonda</w:t>
      </w:r>
      <w:proofErr w:type="spellEnd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</w:p>
    <w:p w:rsidR="00973510" w:rsidRPr="005157EC" w:rsidRDefault="003E6A90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Cerrahi müdahalelerden önce endişe ve akut stres mevcutsa, ameliyattan 30 dakika önce İ.M. veya İ.V. olarak 5-15 mg verilir.</w:t>
      </w:r>
    </w:p>
    <w:p w:rsidR="0040596E" w:rsidRPr="005157EC" w:rsidRDefault="0040596E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Uygulama sekli:</w:t>
      </w:r>
    </w:p>
    <w:p w:rsidR="00F01AFE" w:rsidRPr="005157EC" w:rsidRDefault="00F01AFE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intravenöz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intram</w:t>
      </w:r>
      <w:r w:rsidR="008134C5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ü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sk</w:t>
      </w:r>
      <w:r w:rsidR="008134C5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ü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ler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uygulama içindir.</w:t>
      </w:r>
    </w:p>
    <w:p w:rsidR="0040596E" w:rsidRPr="005157EC" w:rsidRDefault="0040596E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lastRenderedPageBreak/>
        <w:t xml:space="preserve">Özel </w:t>
      </w:r>
      <w:proofErr w:type="gramStart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popülasyonlara</w:t>
      </w:r>
      <w:proofErr w:type="gramEnd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ilişkin ek bilgiler:</w:t>
      </w:r>
    </w:p>
    <w:p w:rsidR="001A6148" w:rsidRPr="005157EC" w:rsidRDefault="0040596E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Böbrek/Karaciğer yetmezliği: </w:t>
      </w:r>
      <w:r w:rsidR="00F01AF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Karaciğer ve böbrek fonksiyon bozukluğu olanlarda dikkatle kullanılmalıdır.</w:t>
      </w:r>
    </w:p>
    <w:p w:rsidR="0040596E" w:rsidRPr="005157EC" w:rsidRDefault="0040596E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: </w:t>
      </w:r>
    </w:p>
    <w:p w:rsidR="00973510" w:rsidRPr="005157EC" w:rsidRDefault="00580CD3">
      <w:pPr>
        <w:pStyle w:val="GvdeMetni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kern w:val="32"/>
          <w:sz w:val="24"/>
        </w:rPr>
      </w:pPr>
      <w:proofErr w:type="spellStart"/>
      <w:r w:rsidRPr="005157EC">
        <w:rPr>
          <w:rFonts w:ascii="Times New Roman" w:hAnsi="Times New Roman"/>
          <w:kern w:val="32"/>
          <w:sz w:val="24"/>
        </w:rPr>
        <w:t>Tetanozda</w:t>
      </w:r>
      <w:proofErr w:type="spellEnd"/>
      <w:r w:rsidRPr="005157EC">
        <w:rPr>
          <w:rFonts w:ascii="Times New Roman" w:hAnsi="Times New Roman"/>
          <w:kern w:val="32"/>
          <w:sz w:val="24"/>
        </w:rPr>
        <w:t>:</w:t>
      </w:r>
      <w:r w:rsidR="001A6148" w:rsidRPr="005157EC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973510" w:rsidRPr="005157EC" w:rsidRDefault="003E6A90">
      <w:pPr>
        <w:pStyle w:val="GvdeMetni"/>
        <w:tabs>
          <w:tab w:val="left" w:pos="284"/>
        </w:tabs>
        <w:spacing w:line="360" w:lineRule="auto"/>
        <w:rPr>
          <w:rFonts w:ascii="Times New Roman" w:hAnsi="Times New Roman"/>
          <w:kern w:val="32"/>
          <w:sz w:val="24"/>
          <w:szCs w:val="24"/>
        </w:rPr>
      </w:pPr>
      <w:r w:rsidRPr="005157EC">
        <w:rPr>
          <w:rFonts w:ascii="Times New Roman" w:hAnsi="Times New Roman"/>
          <w:kern w:val="32"/>
          <w:sz w:val="24"/>
          <w:szCs w:val="24"/>
        </w:rPr>
        <w:t>2-5 yaş arasındaki çocuklara: İ.M. veya İ.V. (3 dakikalık bir sürede verilmelidir) olarak 1-2 mg verilir. Bu doz 3-4 saatte bir tekrarlanabilir.</w:t>
      </w:r>
    </w:p>
    <w:p w:rsidR="003E6A90" w:rsidRPr="005157EC" w:rsidRDefault="003E6A90" w:rsidP="00953661">
      <w:pPr>
        <w:pStyle w:val="GvdeMetni"/>
        <w:spacing w:line="360" w:lineRule="auto"/>
        <w:rPr>
          <w:rFonts w:ascii="Times New Roman" w:hAnsi="Times New Roman"/>
          <w:kern w:val="32"/>
          <w:sz w:val="24"/>
          <w:szCs w:val="24"/>
        </w:rPr>
      </w:pPr>
      <w:r w:rsidRPr="005157EC">
        <w:rPr>
          <w:rFonts w:ascii="Times New Roman" w:hAnsi="Times New Roman"/>
          <w:kern w:val="32"/>
          <w:sz w:val="24"/>
          <w:szCs w:val="24"/>
        </w:rPr>
        <w:t>5 yaşından büyük çocuklara: İ.M. veya İ.V. (3 dakikalık bir sürede verilmelidir) olarak 5-10 mg verilir. Bu doz 3-4 saatte bir tekrarlanabilir.</w:t>
      </w:r>
    </w:p>
    <w:p w:rsidR="00973510" w:rsidRPr="005157EC" w:rsidRDefault="00580CD3">
      <w:pPr>
        <w:pStyle w:val="GvdeMetni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kern w:val="32"/>
          <w:sz w:val="24"/>
        </w:rPr>
      </w:pPr>
      <w:proofErr w:type="spellStart"/>
      <w:r w:rsidRPr="005157EC">
        <w:rPr>
          <w:rFonts w:ascii="Times New Roman" w:hAnsi="Times New Roman"/>
          <w:kern w:val="32"/>
          <w:sz w:val="24"/>
        </w:rPr>
        <w:t>Status</w:t>
      </w:r>
      <w:proofErr w:type="spellEnd"/>
      <w:r w:rsidRPr="005157EC">
        <w:rPr>
          <w:rFonts w:ascii="Times New Roman" w:hAnsi="Times New Roman"/>
          <w:kern w:val="32"/>
          <w:sz w:val="24"/>
        </w:rPr>
        <w:t xml:space="preserve"> </w:t>
      </w:r>
      <w:proofErr w:type="spellStart"/>
      <w:r w:rsidR="00F01AFE" w:rsidRPr="005157EC">
        <w:rPr>
          <w:rFonts w:ascii="Times New Roman" w:hAnsi="Times New Roman"/>
          <w:kern w:val="32"/>
          <w:sz w:val="24"/>
          <w:szCs w:val="24"/>
        </w:rPr>
        <w:t>epileptikus</w:t>
      </w:r>
      <w:proofErr w:type="spellEnd"/>
      <w:r w:rsidRPr="005157EC">
        <w:rPr>
          <w:rFonts w:ascii="Times New Roman" w:hAnsi="Times New Roman"/>
          <w:kern w:val="32"/>
          <w:sz w:val="24"/>
        </w:rPr>
        <w:t xml:space="preserve"> ve </w:t>
      </w:r>
      <w:r w:rsidR="00F01AFE" w:rsidRPr="005157EC">
        <w:rPr>
          <w:rFonts w:ascii="Times New Roman" w:hAnsi="Times New Roman"/>
          <w:kern w:val="32"/>
          <w:sz w:val="24"/>
          <w:szCs w:val="24"/>
        </w:rPr>
        <w:t xml:space="preserve">nükseden ağır </w:t>
      </w:r>
      <w:proofErr w:type="spellStart"/>
      <w:r w:rsidR="00F01AFE" w:rsidRPr="005157EC">
        <w:rPr>
          <w:rFonts w:ascii="Times New Roman" w:hAnsi="Times New Roman"/>
          <w:kern w:val="32"/>
          <w:sz w:val="24"/>
          <w:szCs w:val="24"/>
        </w:rPr>
        <w:t>konvülsif</w:t>
      </w:r>
      <w:proofErr w:type="spellEnd"/>
      <w:r w:rsidR="00F01AFE" w:rsidRPr="005157EC">
        <w:rPr>
          <w:rFonts w:ascii="Times New Roman" w:hAnsi="Times New Roman"/>
          <w:kern w:val="32"/>
          <w:sz w:val="24"/>
          <w:szCs w:val="24"/>
        </w:rPr>
        <w:t xml:space="preserve"> nöbetlerde</w:t>
      </w:r>
      <w:r w:rsidRPr="005157EC">
        <w:rPr>
          <w:rFonts w:ascii="Times New Roman" w:hAnsi="Times New Roman"/>
          <w:kern w:val="32"/>
          <w:sz w:val="24"/>
        </w:rPr>
        <w:t>:</w:t>
      </w:r>
    </w:p>
    <w:p w:rsidR="004577CB" w:rsidRPr="005157EC" w:rsidRDefault="004577CB" w:rsidP="004577CB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0.2 – </w:t>
      </w:r>
      <w:proofErr w:type="gram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0.3</w:t>
      </w:r>
      <w:proofErr w:type="gram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mg / kg IV (veya IM) veya yaşam yılı başına 1 mg verilir.</w:t>
      </w:r>
    </w:p>
    <w:p w:rsidR="0040596E" w:rsidRPr="005157EC" w:rsidRDefault="0040596E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5157EC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: 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Bu hasta popülasyonunda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DİAZEM’i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kullanılırken dikkat edilmelidir.</w:t>
      </w:r>
      <w:r w:rsidR="00A145EC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Yetişkin dozunun yarısı kadar kullanılması uygundur.</w:t>
      </w:r>
    </w:p>
    <w:p w:rsidR="00A145EC" w:rsidRPr="005157EC" w:rsidRDefault="00A145EC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</w:p>
    <w:tbl>
      <w:tblPr>
        <w:tblW w:w="0" w:type="auto"/>
        <w:tblLook w:val="01E0"/>
      </w:tblPr>
      <w:tblGrid>
        <w:gridCol w:w="9548"/>
      </w:tblGrid>
      <w:tr w:rsidR="003E6A90" w:rsidRPr="005157EC" w:rsidTr="00825E11">
        <w:trPr>
          <w:trHeight w:val="561"/>
        </w:trPr>
        <w:tc>
          <w:tcPr>
            <w:tcW w:w="9548" w:type="dxa"/>
            <w:vAlign w:val="center"/>
          </w:tcPr>
          <w:p w:rsidR="00973510" w:rsidRPr="005157EC" w:rsidRDefault="003E6A90">
            <w:pPr>
              <w:spacing w:line="360" w:lineRule="auto"/>
              <w:jc w:val="both"/>
            </w:pP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4.3</w:t>
            </w:r>
            <w:r w:rsidR="002A0C6C"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.</w:t>
            </w: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Kontrendikasyonlar</w:t>
            </w:r>
            <w:proofErr w:type="spellEnd"/>
          </w:p>
        </w:tc>
      </w:tr>
    </w:tbl>
    <w:p w:rsidR="00937F7B" w:rsidRPr="005157EC" w:rsidRDefault="00937F7B" w:rsidP="00953661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Diazem</w:t>
      </w:r>
      <w:proofErr w:type="spellEnd"/>
      <w:r w:rsidRPr="005157EC">
        <w:rPr>
          <w:rFonts w:ascii="Times New Roman" w:hAnsi="Times New Roman"/>
          <w:sz w:val="24"/>
          <w:szCs w:val="24"/>
        </w:rPr>
        <w:t>, aşağıdaki durumlarda kullanılmamalıdır:</w:t>
      </w:r>
    </w:p>
    <w:p w:rsidR="00973510" w:rsidRPr="005157EC" w:rsidRDefault="00937F7B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Benzodiazepinlere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ve preparatın</w:t>
      </w:r>
      <w:r w:rsidR="00580CD3" w:rsidRPr="005157EC">
        <w:rPr>
          <w:rFonts w:ascii="Times New Roman" w:hAnsi="Times New Roman"/>
          <w:sz w:val="24"/>
        </w:rPr>
        <w:t xml:space="preserve"> bileşiminde yer alan maddelerin herhangi </w:t>
      </w:r>
      <w:r w:rsidRPr="005157EC">
        <w:rPr>
          <w:rFonts w:ascii="Times New Roman" w:hAnsi="Times New Roman"/>
          <w:sz w:val="24"/>
          <w:szCs w:val="24"/>
        </w:rPr>
        <w:t>birine</w:t>
      </w:r>
      <w:r w:rsidR="00580CD3" w:rsidRPr="005157EC">
        <w:rPr>
          <w:rFonts w:ascii="Times New Roman" w:hAnsi="Times New Roman"/>
          <w:sz w:val="24"/>
        </w:rPr>
        <w:t xml:space="preserve"> aşırı duyarlılığı </w:t>
      </w:r>
      <w:r w:rsidRPr="005157EC">
        <w:rPr>
          <w:rFonts w:ascii="Times New Roman" w:hAnsi="Times New Roman"/>
          <w:sz w:val="24"/>
          <w:szCs w:val="24"/>
        </w:rPr>
        <w:t>olan kişilerde</w:t>
      </w:r>
    </w:p>
    <w:p w:rsidR="00937F7B" w:rsidRPr="005157EC" w:rsidRDefault="00937F7B" w:rsidP="00953661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>6 aylıktan küçük bebeklerde</w:t>
      </w:r>
    </w:p>
    <w:p w:rsidR="00937F7B" w:rsidRPr="005157EC" w:rsidRDefault="00580CD3" w:rsidP="00953661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</w:rPr>
        <w:t xml:space="preserve">Akut alkol </w:t>
      </w:r>
      <w:proofErr w:type="spellStart"/>
      <w:r w:rsidR="00937F7B" w:rsidRPr="005157EC">
        <w:rPr>
          <w:rFonts w:ascii="Times New Roman" w:hAnsi="Times New Roman"/>
          <w:sz w:val="24"/>
          <w:szCs w:val="24"/>
        </w:rPr>
        <w:t>intoksikasyonunda</w:t>
      </w:r>
      <w:proofErr w:type="spellEnd"/>
    </w:p>
    <w:p w:rsidR="00937F7B" w:rsidRPr="005157EC" w:rsidRDefault="00937F7B" w:rsidP="00953661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Mental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depresyonda (</w:t>
      </w:r>
      <w:proofErr w:type="spellStart"/>
      <w:r w:rsidRPr="005157EC">
        <w:rPr>
          <w:rFonts w:ascii="Times New Roman" w:hAnsi="Times New Roman"/>
          <w:sz w:val="24"/>
          <w:szCs w:val="24"/>
        </w:rPr>
        <w:t>benzodiazepinler</w:t>
      </w:r>
      <w:proofErr w:type="spellEnd"/>
      <w:r w:rsidR="00580CD3" w:rsidRPr="005157EC">
        <w:rPr>
          <w:rFonts w:ascii="Times New Roman" w:hAnsi="Times New Roman"/>
          <w:sz w:val="24"/>
        </w:rPr>
        <w:t xml:space="preserve"> tek başına kullanıldıklarında depresyonu arttırırlar</w:t>
      </w:r>
      <w:r w:rsidRPr="005157EC">
        <w:rPr>
          <w:rFonts w:ascii="Times New Roman" w:hAnsi="Times New Roman"/>
          <w:sz w:val="24"/>
          <w:szCs w:val="24"/>
        </w:rPr>
        <w:t>)</w:t>
      </w:r>
    </w:p>
    <w:p w:rsidR="00937F7B" w:rsidRPr="005157EC" w:rsidRDefault="00937F7B" w:rsidP="00953661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Miyastenia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7EC">
        <w:rPr>
          <w:rFonts w:ascii="Times New Roman" w:hAnsi="Times New Roman"/>
          <w:sz w:val="24"/>
          <w:szCs w:val="24"/>
        </w:rPr>
        <w:t>graviste</w:t>
      </w:r>
      <w:proofErr w:type="spellEnd"/>
    </w:p>
    <w:p w:rsidR="00973510" w:rsidRPr="005157EC" w:rsidRDefault="00937F7B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</w:rPr>
      </w:pPr>
      <w:r w:rsidRPr="005157EC">
        <w:rPr>
          <w:rFonts w:ascii="Times New Roman" w:hAnsi="Times New Roman"/>
          <w:sz w:val="24"/>
          <w:szCs w:val="24"/>
        </w:rPr>
        <w:t>Dar</w:t>
      </w:r>
      <w:r w:rsidR="00580CD3" w:rsidRPr="005157EC">
        <w:rPr>
          <w:rFonts w:ascii="Times New Roman" w:hAnsi="Times New Roman"/>
          <w:sz w:val="24"/>
        </w:rPr>
        <w:t xml:space="preserve"> açılı </w:t>
      </w:r>
      <w:r w:rsidRPr="005157EC">
        <w:rPr>
          <w:rFonts w:ascii="Times New Roman" w:hAnsi="Times New Roman"/>
          <w:sz w:val="24"/>
          <w:szCs w:val="24"/>
        </w:rPr>
        <w:t>glokomda</w:t>
      </w:r>
    </w:p>
    <w:p w:rsidR="00937F7B" w:rsidRPr="005157EC" w:rsidRDefault="00937F7B" w:rsidP="00953661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 xml:space="preserve">Psikoz durumlarında </w:t>
      </w:r>
    </w:p>
    <w:p w:rsidR="00937F7B" w:rsidRPr="005157EC" w:rsidRDefault="00937F7B" w:rsidP="00953661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>Ciddi karaciğer yetmezliğinde</w:t>
      </w:r>
    </w:p>
    <w:p w:rsidR="00937F7B" w:rsidRPr="005157EC" w:rsidRDefault="00937F7B" w:rsidP="00953661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>Ciddi solunum yetmezliğinde</w:t>
      </w:r>
    </w:p>
    <w:p w:rsidR="00007A15" w:rsidRPr="005157EC" w:rsidRDefault="00937F7B" w:rsidP="00953661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 xml:space="preserve">Uykuda geçici solunum yetmezliği </w:t>
      </w:r>
    </w:p>
    <w:p w:rsidR="00F55168" w:rsidRPr="005157EC" w:rsidRDefault="00F55168" w:rsidP="00953661">
      <w:pPr>
        <w:pStyle w:val="GvdeMetni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>Akut porfiri</w:t>
      </w:r>
    </w:p>
    <w:p w:rsidR="00F55168" w:rsidRPr="005157EC" w:rsidRDefault="00F55168" w:rsidP="00F55168">
      <w:pPr>
        <w:pStyle w:val="GvdeMetni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1529C" w:rsidRPr="005157EC" w:rsidRDefault="00007A15" w:rsidP="00007A15">
      <w:pPr>
        <w:pStyle w:val="GvdeMetni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157EC">
        <w:rPr>
          <w:rFonts w:ascii="Times New Roman" w:hAnsi="Times New Roman"/>
          <w:b/>
          <w:sz w:val="24"/>
          <w:szCs w:val="24"/>
        </w:rPr>
        <w:t>4.4.</w:t>
      </w:r>
      <w:r w:rsidR="006E232A" w:rsidRPr="005157EC">
        <w:rPr>
          <w:rFonts w:ascii="Times New Roman" w:hAnsi="Times New Roman"/>
          <w:b/>
          <w:sz w:val="24"/>
          <w:szCs w:val="24"/>
        </w:rPr>
        <w:t xml:space="preserve"> </w:t>
      </w:r>
      <w:r w:rsidRPr="005157EC">
        <w:rPr>
          <w:rFonts w:ascii="Times New Roman" w:hAnsi="Times New Roman"/>
          <w:b/>
          <w:sz w:val="24"/>
          <w:szCs w:val="24"/>
        </w:rPr>
        <w:t>Özel kullanım uyarıları ve önlemleri</w:t>
      </w:r>
    </w:p>
    <w:p w:rsidR="00DE6C2F" w:rsidRPr="005157EC" w:rsidRDefault="004577CB" w:rsidP="004577CB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Acil durumlar dışında, ikinci bir kişi</w:t>
      </w:r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nin 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her zaman </w:t>
      </w:r>
      <w:proofErr w:type="spellStart"/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intravenöz</w:t>
      </w:r>
      <w:proofErr w:type="spellEnd"/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diazepam</w:t>
      </w:r>
      <w:proofErr w:type="spellEnd"/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uygulaması sırasında hastanın yanında bulunmalı ve e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njeksiyon</w:t>
      </w:r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dan sonra 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en az bir saat hasta</w:t>
      </w:r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lar tıbbi gözetim altında 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kalmalıdır. 24 saat süreyle araç ve makine </w:t>
      </w:r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kullanmamaları önerilir. </w:t>
      </w:r>
    </w:p>
    <w:p w:rsidR="00DE6C2F" w:rsidRPr="005157EC" w:rsidRDefault="004577CB" w:rsidP="004577CB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lastRenderedPageBreak/>
        <w:t>Diazepam</w:t>
      </w:r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ın</w:t>
      </w:r>
      <w:proofErr w:type="spellEnd"/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kas içine enjeksiyonu, 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12 ve 24 saat</w:t>
      </w:r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içerisinde 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serum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kreatinin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fosfokinaz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aktivitesi</w:t>
      </w:r>
      <w:r w:rsidR="00DE6C2F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nde 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artışa yol açabilir. </w:t>
      </w:r>
    </w:p>
    <w:p w:rsidR="004577CB" w:rsidRPr="005157EC" w:rsidRDefault="00AC05FB" w:rsidP="00DF071C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Kas içine enjeksiyonda özellikle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gluteal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kaslarda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</w:t>
      </w:r>
      <w:r w:rsidR="004577CB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iazepam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ın</w:t>
      </w:r>
      <w:proofErr w:type="spellEnd"/>
      <w:r w:rsidR="004577CB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emilimi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</w:t>
      </w:r>
      <w:r w:rsidR="004577CB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değişken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lik gösterebilir bu nedenle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i</w:t>
      </w:r>
      <w:r w:rsidR="004577CB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ntravenöz</w:t>
      </w:r>
      <w:proofErr w:type="spellEnd"/>
      <w:r w:rsidR="004577CB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uygulamanın </w:t>
      </w:r>
      <w:r w:rsidR="004577CB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mümkün </w:t>
      </w: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olmadığı hallerde </w:t>
      </w:r>
      <w:r w:rsidR="004577CB"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bu yol kullanılmalıdır.</w:t>
      </w:r>
    </w:p>
    <w:p w:rsidR="00DF071C" w:rsidRPr="005157EC" w:rsidRDefault="00DF071C" w:rsidP="00DF071C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Böbrek ve/veya karaciğer fonksiyonu bozulmuş yaşlı hastalar,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istenmeyen etkilerine karşı hassas olabilir. Bu nedenle doz azaltılması gerekli olabilir.</w:t>
      </w:r>
    </w:p>
    <w:p w:rsidR="00DF071C" w:rsidRPr="005157EC" w:rsidRDefault="00DF071C" w:rsidP="00DF071C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Solunum depresyonu veya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apne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olasılığı ve sınırlı akciğer rezervi olan hastalara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enjeksiyonu uygulanırken çok dikkatli olunmalıdır.</w:t>
      </w:r>
    </w:p>
    <w:p w:rsidR="00DF071C" w:rsidRPr="005157EC" w:rsidRDefault="00DF071C" w:rsidP="00DF071C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Myastenia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gravis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, porfiri, ilaç veya alkol bağımlılığı ve damar sertliği olan hastalarda dikkatli kullanılmalıdır.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enjeksiyonu, kan basıncı düşük hastalarda,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kardiyovasküler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serebrovasküler</w:t>
      </w:r>
      <w:proofErr w:type="spellEnd"/>
      <w:r w:rsidRPr="005157EC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komplikasyonlara yol açabileceğinden dikkatle uygulanmalıdır.</w:t>
      </w:r>
    </w:p>
    <w:p w:rsidR="00973510" w:rsidRPr="005157EC" w:rsidRDefault="00937F7B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Diazemi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alkollü içkilerle birlikte kullanmaktan sakınınız, uyuklamaya neden olabilir. 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Çapraz hassasiyet: </w:t>
      </w:r>
    </w:p>
    <w:p w:rsidR="00973510" w:rsidRPr="005157EC" w:rsidRDefault="00937F7B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Benzodiazepinlerden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birine karşı hassasiyet mevcutsa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için de söz konusudur. 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Genel uyarılar: 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İlaç bağımlılığına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predispozisyonu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olan hastalarda dikkatle kullanılmalıdır. 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Diğer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antikonvülsan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ilaçlarda olduğu gibi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;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konvülsif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rahatsızlıklarda ek tedavi olarak kullanıldığında,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konvülsiyon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sıklığı veya Grand mal nöbetlerinin artması hallerinde, standart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antikonvülzan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 dozunun arttırılmasını gerektirebilir. 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Epileptik hastalarda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ani kesilmesi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grandmal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nöbetlerinin sıklık ve şiddetini arttırabilir. </w:t>
      </w:r>
    </w:p>
    <w:p w:rsidR="00007A15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sistemini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deprese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edici etkisinden dolayı hastalar;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 esnasında alkol ve santral sinir sistemini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deprese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 ilaçlara karşı uyarılmalıdır. </w:t>
      </w:r>
    </w:p>
    <w:p w:rsidR="00973510" w:rsidRPr="005157EC" w:rsidRDefault="00937F7B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Karaciğer ve böbrek fonksiyon bozukluğu olanlarda dikkatle kullanılmalıdır.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Hipoalbüminemide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 artabilir. Kronik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obstrüktif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pulmoner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rahatsızlığı olanlarda solunum güçlüğünü arttırabilirler. 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Pediatrik ve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kullanımı: </w:t>
      </w:r>
    </w:p>
    <w:p w:rsidR="00973510" w:rsidRPr="005157EC" w:rsidRDefault="00937F7B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Özellikle küçük hastalar ve yaşlı hastalar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sisteminde oluşturdukları etkilere karşı daha fazla hassastırlar. Yeni doğanlarda uzun süreli santral sinir sistemi depresyonu oluşturur.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Fiziksel ve psikolojik bağımlılık: </w:t>
      </w:r>
    </w:p>
    <w:p w:rsidR="00973510" w:rsidRPr="005157EC" w:rsidRDefault="00937F7B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ani kesilmelerinde,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barbitürat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alkol gibi maddelerin ani kesilmelerine benzer şekilde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konvülsiyonlar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tremor, karın ve kas krampları, kusma ve terleme gibi belirtiler görülebilir. Bu nedenle her türlü uzun süreli tedavide ilaç yavaş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yavaş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azaltılmalıdır.</w:t>
      </w:r>
    </w:p>
    <w:p w:rsidR="00F6081D" w:rsidRPr="005157EC" w:rsidRDefault="00F6081D" w:rsidP="00953661">
      <w:pPr>
        <w:pStyle w:val="ListeParagraf"/>
        <w:numPr>
          <w:ilvl w:val="0"/>
          <w:numId w:val="4"/>
        </w:numPr>
        <w:tabs>
          <w:tab w:val="left" w:pos="284"/>
        </w:tabs>
        <w:overflowPunct/>
        <w:spacing w:line="360" w:lineRule="auto"/>
        <w:ind w:left="0" w:firstLine="0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 xml:space="preserve">DİAZEM ampuller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propilen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glikol içermektedir. Bu nedenle, alkol benzeri semptomlara neden olabilir.</w:t>
      </w:r>
    </w:p>
    <w:p w:rsidR="00F6081D" w:rsidRPr="005157EC" w:rsidRDefault="00F6081D" w:rsidP="00953661">
      <w:pPr>
        <w:pStyle w:val="ListeParagraf"/>
        <w:numPr>
          <w:ilvl w:val="0"/>
          <w:numId w:val="4"/>
        </w:numPr>
        <w:tabs>
          <w:tab w:val="left" w:pos="284"/>
        </w:tabs>
        <w:overflowPunct/>
        <w:spacing w:line="360" w:lineRule="auto"/>
        <w:ind w:left="0" w:firstLine="0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Bu t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bbi üründe </w:t>
      </w:r>
      <w:proofErr w:type="gram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170.8</w:t>
      </w:r>
      <w:proofErr w:type="gram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etanol (alkol) vard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r; Alkol ba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ğı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ığı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olanlar için zararl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olabilir.</w:t>
      </w:r>
    </w:p>
    <w:p w:rsidR="001F0F67" w:rsidRPr="005157EC" w:rsidRDefault="001F0F67" w:rsidP="00953661">
      <w:pPr>
        <w:pStyle w:val="ListeParagraf"/>
        <w:numPr>
          <w:ilvl w:val="0"/>
          <w:numId w:val="4"/>
        </w:numPr>
        <w:tabs>
          <w:tab w:val="left" w:pos="284"/>
        </w:tabs>
        <w:overflowPunct/>
        <w:spacing w:line="360" w:lineRule="auto"/>
        <w:ind w:left="0" w:firstLine="0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Bu t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bbi ürün 2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ml’de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1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mmol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(23 mg)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’</w:t>
      </w:r>
      <w:proofErr w:type="gram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dan</w:t>
      </w:r>
      <w:proofErr w:type="gram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daha az sodyum ihtiva eder; yani esas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nda sodyum içer</w:t>
      </w:r>
      <w:r w:rsidR="004577C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mediği kabul edilmektedir.</w:t>
      </w:r>
    </w:p>
    <w:p w:rsidR="00F6081D" w:rsidRPr="005157EC" w:rsidRDefault="001F0F67" w:rsidP="00953661">
      <w:pPr>
        <w:pStyle w:val="ListeParagraf"/>
        <w:numPr>
          <w:ilvl w:val="0"/>
          <w:numId w:val="4"/>
        </w:numPr>
        <w:tabs>
          <w:tab w:val="left" w:pos="284"/>
        </w:tabs>
        <w:overflowPunct/>
        <w:spacing w:line="360" w:lineRule="auto"/>
        <w:ind w:left="0" w:firstLine="0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DİAZEM</w:t>
      </w:r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2 </w:t>
      </w:r>
      <w:proofErr w:type="spellStart"/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ml’sinde</w:t>
      </w:r>
      <w:proofErr w:type="spellEnd"/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3.7</w:t>
      </w:r>
      <w:proofErr w:type="gramEnd"/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asit içermektedir. Bu nedenle,</w:t>
      </w:r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yeni doğmuş bebeklerde sar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 riskini art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rabilir.</w:t>
      </w:r>
    </w:p>
    <w:p w:rsidR="0044125C" w:rsidRPr="005157EC" w:rsidRDefault="006B1245" w:rsidP="00953661">
      <w:pPr>
        <w:pStyle w:val="ListeParagraf"/>
        <w:numPr>
          <w:ilvl w:val="0"/>
          <w:numId w:val="4"/>
        </w:numPr>
        <w:tabs>
          <w:tab w:val="left" w:pos="284"/>
        </w:tabs>
        <w:overflowPunct/>
        <w:spacing w:line="360" w:lineRule="auto"/>
        <w:ind w:left="0" w:firstLine="0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DİAZEM 2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ml’sinde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31.</w:t>
      </w:r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</w:t>
      </w:r>
      <w:proofErr w:type="gramEnd"/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</w:t>
      </w:r>
      <w:proofErr w:type="spellStart"/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benzil</w:t>
      </w:r>
      <w:proofErr w:type="spellEnd"/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alkol içermektedir. Prematüre bebekler ve yeni do</w:t>
      </w:r>
      <w:r w:rsidR="0044125C"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ğ</w:t>
      </w:r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anlara uygulanmamas</w:t>
      </w:r>
      <w:r w:rsidR="0044125C"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="0044125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gerekir.</w:t>
      </w:r>
    </w:p>
    <w:p w:rsidR="0044125C" w:rsidRPr="005157EC" w:rsidRDefault="0044125C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Bebeklerde ve 3 yaş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na kadar olan çocuklarda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reaksiyonlara ve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anaflaktoid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reaksiyonlara sebebiyet verebilir.</w:t>
      </w:r>
    </w:p>
    <w:p w:rsidR="00007A15" w:rsidRPr="005157EC" w:rsidRDefault="0051529C" w:rsidP="00953661">
      <w:pPr>
        <w:pStyle w:val="ListeParagraf"/>
        <w:numPr>
          <w:ilvl w:val="0"/>
          <w:numId w:val="4"/>
        </w:numPr>
        <w:tabs>
          <w:tab w:val="left" w:pos="284"/>
        </w:tabs>
        <w:overflowPunct/>
        <w:spacing w:line="360" w:lineRule="auto"/>
        <w:ind w:left="0" w:firstLine="0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Bu ürünün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pH’sının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ayarlanmasında hidroklorik asit kullanılmıştır.</w:t>
      </w:r>
    </w:p>
    <w:p w:rsidR="00FA7A02" w:rsidRPr="005157EC" w:rsidRDefault="00FA7A02" w:rsidP="00FA7A02">
      <w:pPr>
        <w:pStyle w:val="ListeParagraf"/>
        <w:tabs>
          <w:tab w:val="left" w:pos="284"/>
        </w:tabs>
        <w:overflowPunct/>
        <w:spacing w:line="360" w:lineRule="auto"/>
        <w:ind w:left="0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51529C" w:rsidRPr="005157EC" w:rsidRDefault="00007A15" w:rsidP="00007A15">
      <w:pPr>
        <w:pStyle w:val="ListeParagraf"/>
        <w:tabs>
          <w:tab w:val="left" w:pos="284"/>
        </w:tabs>
        <w:overflowPunct/>
        <w:spacing w:line="360" w:lineRule="auto"/>
        <w:ind w:left="0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4.5. Diğer tıbbi ürünler ile etkileşimler ve diğer etkileşim şekilleri</w:t>
      </w:r>
    </w:p>
    <w:p w:rsidR="00937F7B" w:rsidRPr="005157EC" w:rsidRDefault="00580CD3" w:rsidP="00953661">
      <w:pPr>
        <w:pStyle w:val="GvdeMetni"/>
        <w:spacing w:line="360" w:lineRule="auto"/>
        <w:rPr>
          <w:rFonts w:ascii="Times New Roman" w:hAnsi="Times New Roman"/>
          <w:sz w:val="24"/>
        </w:rPr>
      </w:pPr>
      <w:proofErr w:type="spellStart"/>
      <w:r w:rsidRPr="005157EC">
        <w:rPr>
          <w:rFonts w:ascii="Times New Roman" w:hAnsi="Times New Roman"/>
          <w:sz w:val="24"/>
        </w:rPr>
        <w:t>Antasidler</w:t>
      </w:r>
      <w:proofErr w:type="spellEnd"/>
      <w:r w:rsidRPr="005157EC">
        <w:rPr>
          <w:rFonts w:ascii="Times New Roman" w:hAnsi="Times New Roman"/>
          <w:sz w:val="24"/>
        </w:rPr>
        <w:t xml:space="preserve"> ile birlikte kullanım </w:t>
      </w:r>
      <w:proofErr w:type="spellStart"/>
      <w:r w:rsidR="00937F7B" w:rsidRPr="005157EC">
        <w:rPr>
          <w:rFonts w:ascii="Times New Roman" w:hAnsi="Times New Roman"/>
          <w:sz w:val="24"/>
          <w:szCs w:val="24"/>
        </w:rPr>
        <w:t>absorpsiyon</w:t>
      </w:r>
      <w:proofErr w:type="spellEnd"/>
      <w:r w:rsidRPr="005157EC">
        <w:rPr>
          <w:rFonts w:ascii="Times New Roman" w:hAnsi="Times New Roman"/>
          <w:sz w:val="24"/>
        </w:rPr>
        <w:t xml:space="preserve"> süresini uzatır.</w:t>
      </w:r>
      <w:r w:rsidR="00937F7B" w:rsidRPr="005157EC">
        <w:rPr>
          <w:rFonts w:ascii="Times New Roman" w:hAnsi="Times New Roman"/>
          <w:sz w:val="24"/>
          <w:szCs w:val="24"/>
        </w:rPr>
        <w:t xml:space="preserve"> </w:t>
      </w:r>
    </w:p>
    <w:p w:rsidR="00937F7B" w:rsidRPr="005157EC" w:rsidRDefault="00580CD3" w:rsidP="00953661">
      <w:pPr>
        <w:pStyle w:val="GvdeMetni"/>
        <w:spacing w:line="360" w:lineRule="auto"/>
        <w:rPr>
          <w:rFonts w:ascii="Times New Roman" w:hAnsi="Times New Roman"/>
          <w:sz w:val="24"/>
        </w:rPr>
      </w:pPr>
      <w:proofErr w:type="spellStart"/>
      <w:r w:rsidRPr="005157EC">
        <w:rPr>
          <w:rFonts w:ascii="Times New Roman" w:hAnsi="Times New Roman"/>
          <w:sz w:val="24"/>
        </w:rPr>
        <w:t>Karbamazepin</w:t>
      </w:r>
      <w:proofErr w:type="spellEnd"/>
      <w:r w:rsidRPr="005157EC">
        <w:rPr>
          <w:rFonts w:ascii="Times New Roman" w:hAnsi="Times New Roman"/>
          <w:sz w:val="24"/>
        </w:rPr>
        <w:t xml:space="preserve"> her iki ilacın da serum seviyelerini düşürebilir, etkileri azalır.</w:t>
      </w:r>
      <w:r w:rsidR="00937F7B" w:rsidRPr="005157EC">
        <w:rPr>
          <w:rFonts w:ascii="Times New Roman" w:hAnsi="Times New Roman"/>
          <w:sz w:val="24"/>
          <w:szCs w:val="24"/>
        </w:rPr>
        <w:t xml:space="preserve"> </w:t>
      </w:r>
    </w:p>
    <w:p w:rsidR="00937F7B" w:rsidRPr="005157EC" w:rsidRDefault="00937F7B" w:rsidP="00953661">
      <w:pPr>
        <w:pStyle w:val="GvdeMetni"/>
        <w:spacing w:line="360" w:lineRule="auto"/>
        <w:rPr>
          <w:rFonts w:ascii="Times New Roman" w:hAnsi="Times New Roman"/>
          <w:sz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Simetidin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7EC">
        <w:rPr>
          <w:rFonts w:ascii="Times New Roman" w:hAnsi="Times New Roman"/>
          <w:sz w:val="24"/>
          <w:szCs w:val="24"/>
        </w:rPr>
        <w:t>diazepamın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CD3" w:rsidRPr="005157EC">
        <w:rPr>
          <w:rFonts w:ascii="Times New Roman" w:hAnsi="Times New Roman"/>
          <w:sz w:val="24"/>
        </w:rPr>
        <w:t>mikrozomal</w:t>
      </w:r>
      <w:proofErr w:type="spellEnd"/>
      <w:r w:rsidR="00580CD3" w:rsidRPr="005157EC">
        <w:rPr>
          <w:rFonts w:ascii="Times New Roman" w:hAnsi="Times New Roman"/>
          <w:sz w:val="24"/>
        </w:rPr>
        <w:t xml:space="preserve"> </w:t>
      </w:r>
      <w:proofErr w:type="spellStart"/>
      <w:r w:rsidR="00580CD3" w:rsidRPr="005157EC">
        <w:rPr>
          <w:rFonts w:ascii="Times New Roman" w:hAnsi="Times New Roman"/>
          <w:sz w:val="24"/>
        </w:rPr>
        <w:t>oksidasyonunu</w:t>
      </w:r>
      <w:proofErr w:type="spellEnd"/>
      <w:r w:rsidR="00580CD3" w:rsidRPr="005157EC">
        <w:rPr>
          <w:rFonts w:ascii="Times New Roman" w:hAnsi="Times New Roman"/>
          <w:sz w:val="24"/>
        </w:rPr>
        <w:t xml:space="preserve"> </w:t>
      </w:r>
      <w:proofErr w:type="spellStart"/>
      <w:r w:rsidR="00580CD3" w:rsidRPr="005157EC">
        <w:rPr>
          <w:rFonts w:ascii="Times New Roman" w:hAnsi="Times New Roman"/>
          <w:sz w:val="24"/>
        </w:rPr>
        <w:t>inhibe</w:t>
      </w:r>
      <w:proofErr w:type="spellEnd"/>
      <w:r w:rsidR="00580CD3" w:rsidRPr="005157EC">
        <w:rPr>
          <w:rFonts w:ascii="Times New Roman" w:hAnsi="Times New Roman"/>
          <w:sz w:val="24"/>
        </w:rPr>
        <w:t xml:space="preserve"> eder. Etki şiddetlenebilir.</w:t>
      </w:r>
      <w:r w:rsidRPr="005157EC">
        <w:rPr>
          <w:rFonts w:ascii="Times New Roman" w:hAnsi="Times New Roman"/>
          <w:sz w:val="24"/>
          <w:szCs w:val="24"/>
        </w:rPr>
        <w:t xml:space="preserve"> </w:t>
      </w:r>
    </w:p>
    <w:p w:rsidR="00937F7B" w:rsidRPr="005157EC" w:rsidRDefault="00580CD3" w:rsidP="00953661">
      <w:pPr>
        <w:pStyle w:val="GvdeMetni"/>
        <w:spacing w:line="360" w:lineRule="auto"/>
        <w:rPr>
          <w:rFonts w:ascii="Times New Roman" w:hAnsi="Times New Roman"/>
          <w:sz w:val="24"/>
        </w:rPr>
      </w:pPr>
      <w:r w:rsidRPr="005157EC">
        <w:rPr>
          <w:rFonts w:ascii="Times New Roman" w:hAnsi="Times New Roman"/>
          <w:sz w:val="24"/>
        </w:rPr>
        <w:t xml:space="preserve">Diğer </w:t>
      </w:r>
      <w:r w:rsidR="00937F7B" w:rsidRPr="005157EC">
        <w:rPr>
          <w:rFonts w:ascii="Times New Roman" w:hAnsi="Times New Roman"/>
          <w:sz w:val="24"/>
          <w:szCs w:val="24"/>
        </w:rPr>
        <w:t xml:space="preserve">santral sinir sistemi </w:t>
      </w:r>
      <w:proofErr w:type="spellStart"/>
      <w:r w:rsidR="00937F7B" w:rsidRPr="005157EC">
        <w:rPr>
          <w:rFonts w:ascii="Times New Roman" w:hAnsi="Times New Roman"/>
          <w:sz w:val="24"/>
          <w:szCs w:val="24"/>
        </w:rPr>
        <w:t>depresanları</w:t>
      </w:r>
      <w:proofErr w:type="spellEnd"/>
      <w:r w:rsidRPr="005157EC">
        <w:rPr>
          <w:rFonts w:ascii="Times New Roman" w:hAnsi="Times New Roman"/>
          <w:sz w:val="24"/>
        </w:rPr>
        <w:t xml:space="preserve"> ile etkileşebilir. Etki şiddetlenir</w:t>
      </w:r>
      <w:r w:rsidR="00937F7B" w:rsidRPr="005157EC">
        <w:rPr>
          <w:rFonts w:ascii="Times New Roman" w:hAnsi="Times New Roman"/>
          <w:sz w:val="24"/>
          <w:szCs w:val="24"/>
        </w:rPr>
        <w:t xml:space="preserve"> </w:t>
      </w:r>
    </w:p>
    <w:p w:rsidR="00937F7B" w:rsidRPr="005157EC" w:rsidRDefault="00937F7B" w:rsidP="00953661">
      <w:pPr>
        <w:pStyle w:val="GvdeMetni"/>
        <w:spacing w:line="360" w:lineRule="auto"/>
        <w:rPr>
          <w:rFonts w:ascii="Times New Roman" w:hAnsi="Times New Roman"/>
          <w:sz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İzoniazid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birlikte </w:t>
      </w:r>
      <w:r w:rsidR="00580CD3" w:rsidRPr="005157EC">
        <w:rPr>
          <w:rFonts w:ascii="Times New Roman" w:hAnsi="Times New Roman"/>
          <w:sz w:val="24"/>
        </w:rPr>
        <w:t xml:space="preserve">kullanım ile </w:t>
      </w:r>
      <w:proofErr w:type="spellStart"/>
      <w:r w:rsidR="00580CD3" w:rsidRPr="005157EC">
        <w:rPr>
          <w:rFonts w:ascii="Times New Roman" w:hAnsi="Times New Roman"/>
          <w:sz w:val="24"/>
        </w:rPr>
        <w:t>diazepamın</w:t>
      </w:r>
      <w:proofErr w:type="spellEnd"/>
      <w:r w:rsidR="00580CD3" w:rsidRPr="005157EC">
        <w:rPr>
          <w:rFonts w:ascii="Times New Roman" w:hAnsi="Times New Roman"/>
          <w:sz w:val="24"/>
        </w:rPr>
        <w:t xml:space="preserve"> </w:t>
      </w:r>
      <w:proofErr w:type="spellStart"/>
      <w:r w:rsidR="001D4D87" w:rsidRPr="005157EC">
        <w:rPr>
          <w:rFonts w:ascii="Times New Roman" w:hAnsi="Times New Roman"/>
          <w:sz w:val="24"/>
        </w:rPr>
        <w:t>metabolizasyonu</w:t>
      </w:r>
      <w:proofErr w:type="spellEnd"/>
      <w:r w:rsidR="00580CD3" w:rsidRPr="005157EC">
        <w:rPr>
          <w:rFonts w:ascii="Times New Roman" w:hAnsi="Times New Roman"/>
          <w:sz w:val="24"/>
        </w:rPr>
        <w:t xml:space="preserve"> azalabilir.</w:t>
      </w:r>
      <w:r w:rsidRPr="005157EC">
        <w:rPr>
          <w:rFonts w:ascii="Times New Roman" w:hAnsi="Times New Roman"/>
          <w:sz w:val="24"/>
          <w:szCs w:val="24"/>
        </w:rPr>
        <w:t xml:space="preserve"> </w:t>
      </w:r>
    </w:p>
    <w:p w:rsidR="00937F7B" w:rsidRPr="005157EC" w:rsidRDefault="00937F7B" w:rsidP="00953661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Nöromusküler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kavşak </w:t>
      </w:r>
      <w:proofErr w:type="spellStart"/>
      <w:r w:rsidRPr="005157EC">
        <w:rPr>
          <w:rFonts w:ascii="Times New Roman" w:hAnsi="Times New Roman"/>
          <w:sz w:val="24"/>
          <w:szCs w:val="24"/>
        </w:rPr>
        <w:t>blokerleri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 (kürar benzeri ilaçlar, kas gevşeticiler) ile </w:t>
      </w:r>
      <w:proofErr w:type="spellStart"/>
      <w:r w:rsidRPr="005157EC">
        <w:rPr>
          <w:rFonts w:ascii="Times New Roman" w:hAnsi="Times New Roman"/>
          <w:sz w:val="24"/>
          <w:szCs w:val="24"/>
        </w:rPr>
        <w:t>aditif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sinerji görülür. </w:t>
      </w:r>
    </w:p>
    <w:p w:rsidR="00937F7B" w:rsidRPr="005157EC" w:rsidRDefault="00580CD3" w:rsidP="00953661">
      <w:pPr>
        <w:pStyle w:val="GvdeMetni"/>
        <w:spacing w:line="360" w:lineRule="auto"/>
        <w:rPr>
          <w:rFonts w:ascii="Times New Roman" w:hAnsi="Times New Roman"/>
          <w:sz w:val="24"/>
        </w:rPr>
      </w:pPr>
      <w:proofErr w:type="spellStart"/>
      <w:r w:rsidRPr="005157EC">
        <w:rPr>
          <w:rFonts w:ascii="Times New Roman" w:hAnsi="Times New Roman"/>
          <w:sz w:val="24"/>
        </w:rPr>
        <w:t>Rifampin</w:t>
      </w:r>
      <w:proofErr w:type="spellEnd"/>
      <w:r w:rsidR="00937F7B" w:rsidRPr="00515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F7B" w:rsidRPr="005157EC">
        <w:rPr>
          <w:rFonts w:ascii="Times New Roman" w:hAnsi="Times New Roman"/>
          <w:sz w:val="24"/>
          <w:szCs w:val="24"/>
        </w:rPr>
        <w:t>diazepamın</w:t>
      </w:r>
      <w:proofErr w:type="spellEnd"/>
      <w:r w:rsidR="001D4D87" w:rsidRPr="005157EC">
        <w:rPr>
          <w:rFonts w:ascii="Times New Roman" w:hAnsi="Times New Roman"/>
          <w:sz w:val="24"/>
        </w:rPr>
        <w:t xml:space="preserve"> </w:t>
      </w:r>
      <w:proofErr w:type="spellStart"/>
      <w:r w:rsidR="001D4D87" w:rsidRPr="005157EC">
        <w:rPr>
          <w:rFonts w:ascii="Times New Roman" w:hAnsi="Times New Roman"/>
          <w:sz w:val="24"/>
        </w:rPr>
        <w:t>metabolizasyonunu</w:t>
      </w:r>
      <w:proofErr w:type="spellEnd"/>
      <w:r w:rsidR="001D4D87" w:rsidRPr="005157EC">
        <w:rPr>
          <w:rFonts w:ascii="Times New Roman" w:hAnsi="Times New Roman"/>
          <w:sz w:val="24"/>
        </w:rPr>
        <w:t xml:space="preserve"> </w:t>
      </w:r>
      <w:r w:rsidRPr="005157EC">
        <w:rPr>
          <w:rFonts w:ascii="Times New Roman" w:hAnsi="Times New Roman"/>
          <w:sz w:val="24"/>
        </w:rPr>
        <w:t>arttırabilir.</w:t>
      </w:r>
      <w:r w:rsidR="00937F7B" w:rsidRPr="005157EC">
        <w:rPr>
          <w:rFonts w:ascii="Times New Roman" w:hAnsi="Times New Roman"/>
          <w:sz w:val="24"/>
          <w:szCs w:val="24"/>
        </w:rPr>
        <w:t xml:space="preserve"> </w:t>
      </w:r>
    </w:p>
    <w:p w:rsidR="00937F7B" w:rsidRPr="005157EC" w:rsidRDefault="00580CD3" w:rsidP="00953661">
      <w:pPr>
        <w:pStyle w:val="GvdeMetni"/>
        <w:spacing w:line="360" w:lineRule="auto"/>
        <w:rPr>
          <w:rFonts w:ascii="Times New Roman" w:hAnsi="Times New Roman"/>
          <w:sz w:val="24"/>
        </w:rPr>
      </w:pPr>
      <w:r w:rsidRPr="005157EC">
        <w:rPr>
          <w:rFonts w:ascii="Times New Roman" w:hAnsi="Times New Roman"/>
          <w:sz w:val="24"/>
        </w:rPr>
        <w:t>Alkol ile birlikte kullanılması uyuklamaya yol açabilir.</w:t>
      </w:r>
      <w:r w:rsidR="00937F7B" w:rsidRPr="005157EC">
        <w:rPr>
          <w:rFonts w:ascii="Times New Roman" w:hAnsi="Times New Roman"/>
          <w:sz w:val="24"/>
          <w:szCs w:val="24"/>
        </w:rPr>
        <w:t xml:space="preserve"> </w:t>
      </w:r>
    </w:p>
    <w:p w:rsidR="00007A15" w:rsidRPr="005157EC" w:rsidRDefault="00937F7B" w:rsidP="00953661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 xml:space="preserve">Kesilme sendromu gelişmesi riski, </w:t>
      </w:r>
      <w:proofErr w:type="spellStart"/>
      <w:r w:rsidRPr="005157EC">
        <w:rPr>
          <w:rFonts w:ascii="Times New Roman" w:hAnsi="Times New Roman"/>
          <w:sz w:val="24"/>
          <w:szCs w:val="24"/>
        </w:rPr>
        <w:t>anksiyolitik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veya </w:t>
      </w:r>
      <w:proofErr w:type="spellStart"/>
      <w:r w:rsidRPr="005157EC">
        <w:rPr>
          <w:rFonts w:ascii="Times New Roman" w:hAnsi="Times New Roman"/>
          <w:sz w:val="24"/>
          <w:szCs w:val="24"/>
        </w:rPr>
        <w:t>hipnotik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olarak reçete edilen </w:t>
      </w:r>
      <w:proofErr w:type="spellStart"/>
      <w:r w:rsidRPr="005157EC">
        <w:rPr>
          <w:rFonts w:ascii="Times New Roman" w:hAnsi="Times New Roman"/>
          <w:sz w:val="24"/>
          <w:szCs w:val="24"/>
        </w:rPr>
        <w:t>benzodiazepinlerin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kombinasyonu ile artar. </w:t>
      </w:r>
    </w:p>
    <w:p w:rsidR="001934DD" w:rsidRPr="005157EC" w:rsidRDefault="001934DD" w:rsidP="001934DD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Benzodiazepin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ile birlikte kullanılması </w:t>
      </w:r>
      <w:proofErr w:type="spellStart"/>
      <w:r w:rsidRPr="005157EC">
        <w:rPr>
          <w:rFonts w:ascii="Times New Roman" w:hAnsi="Times New Roman"/>
          <w:sz w:val="24"/>
          <w:szCs w:val="24"/>
        </w:rPr>
        <w:t>dopaminerjik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ilaçların (</w:t>
      </w:r>
      <w:proofErr w:type="spellStart"/>
      <w:r w:rsidRPr="005157EC">
        <w:rPr>
          <w:rFonts w:ascii="Times New Roman" w:hAnsi="Times New Roman"/>
          <w:sz w:val="24"/>
          <w:szCs w:val="24"/>
        </w:rPr>
        <w:t>levodopa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157EC">
        <w:rPr>
          <w:rFonts w:ascii="Times New Roman" w:hAnsi="Times New Roman"/>
          <w:sz w:val="24"/>
          <w:szCs w:val="24"/>
        </w:rPr>
        <w:t>terapötik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etkilerini azaltabilir.</w:t>
      </w:r>
    </w:p>
    <w:p w:rsidR="001934DD" w:rsidRPr="005157EC" w:rsidRDefault="001934DD" w:rsidP="001934DD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Itrakonazloe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57EC">
        <w:rPr>
          <w:rFonts w:ascii="Times New Roman" w:hAnsi="Times New Roman"/>
          <w:sz w:val="24"/>
          <w:szCs w:val="24"/>
        </w:rPr>
        <w:t>ketokonazol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5157EC">
        <w:rPr>
          <w:rFonts w:ascii="Times New Roman" w:hAnsi="Times New Roman"/>
          <w:sz w:val="24"/>
          <w:szCs w:val="24"/>
        </w:rPr>
        <w:t>flukonazol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7EC">
        <w:rPr>
          <w:rFonts w:ascii="Times New Roman" w:hAnsi="Times New Roman"/>
          <w:sz w:val="24"/>
          <w:szCs w:val="24"/>
        </w:rPr>
        <w:t>sitokrom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P450 </w:t>
      </w:r>
      <w:proofErr w:type="spellStart"/>
      <w:r w:rsidRPr="005157EC">
        <w:rPr>
          <w:rFonts w:ascii="Times New Roman" w:hAnsi="Times New Roman"/>
          <w:sz w:val="24"/>
          <w:szCs w:val="24"/>
        </w:rPr>
        <w:t>izoenzim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CYP3A4 inhibitörleri olduğundan </w:t>
      </w:r>
      <w:proofErr w:type="spellStart"/>
      <w:r w:rsidRPr="005157EC">
        <w:rPr>
          <w:rFonts w:ascii="Times New Roman" w:hAnsi="Times New Roman"/>
          <w:sz w:val="24"/>
          <w:szCs w:val="24"/>
        </w:rPr>
        <w:t>benzodiazepinlerin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plazma düzeylerini artırabilirler. Eş zamanlı kullanım ile </w:t>
      </w:r>
      <w:proofErr w:type="spellStart"/>
      <w:r w:rsidRPr="005157EC">
        <w:rPr>
          <w:rFonts w:ascii="Times New Roman" w:hAnsi="Times New Roman"/>
          <w:sz w:val="24"/>
          <w:szCs w:val="24"/>
        </w:rPr>
        <w:t>benzodiazepinlerin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etkileri artabilir ve uzayabilir. </w:t>
      </w:r>
      <w:proofErr w:type="spellStart"/>
      <w:r w:rsidRPr="005157EC">
        <w:rPr>
          <w:rFonts w:ascii="Times New Roman" w:hAnsi="Times New Roman"/>
          <w:sz w:val="24"/>
          <w:szCs w:val="24"/>
        </w:rPr>
        <w:t>Benzodiazepin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dozunun azaltılması gerekli olabilir.</w:t>
      </w:r>
    </w:p>
    <w:p w:rsidR="001934DD" w:rsidRPr="005157EC" w:rsidRDefault="001934DD" w:rsidP="001934DD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157EC">
        <w:rPr>
          <w:rFonts w:ascii="Times New Roman" w:hAnsi="Times New Roman"/>
          <w:sz w:val="24"/>
          <w:szCs w:val="24"/>
        </w:rPr>
        <w:t>Teofilin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57EC">
        <w:rPr>
          <w:rFonts w:ascii="Times New Roman" w:hAnsi="Times New Roman"/>
          <w:sz w:val="24"/>
          <w:szCs w:val="24"/>
        </w:rPr>
        <w:t>diazepam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metabolizmasını artırarak etkisini azaltır.</w:t>
      </w:r>
    </w:p>
    <w:p w:rsidR="001934DD" w:rsidRPr="005157EC" w:rsidRDefault="001934DD" w:rsidP="001934DD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 xml:space="preserve">Greyfurt suyu CYP3A4 </w:t>
      </w:r>
      <w:proofErr w:type="spellStart"/>
      <w:r w:rsidRPr="005157EC">
        <w:rPr>
          <w:rFonts w:ascii="Times New Roman" w:hAnsi="Times New Roman"/>
          <w:sz w:val="24"/>
          <w:szCs w:val="24"/>
        </w:rPr>
        <w:t>inhibe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eder ve </w:t>
      </w:r>
      <w:proofErr w:type="spellStart"/>
      <w:r w:rsidRPr="005157EC">
        <w:rPr>
          <w:rFonts w:ascii="Times New Roman" w:hAnsi="Times New Roman"/>
          <w:sz w:val="24"/>
          <w:szCs w:val="24"/>
        </w:rPr>
        <w:t>diazepam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plazma konsantrasyonu artırarak </w:t>
      </w:r>
      <w:proofErr w:type="spellStart"/>
      <w:r w:rsidRPr="005157EC">
        <w:rPr>
          <w:rFonts w:ascii="Times New Roman" w:hAnsi="Times New Roman"/>
          <w:sz w:val="24"/>
          <w:szCs w:val="24"/>
        </w:rPr>
        <w:t>sedasyon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ve amneziyi uzatabilir. Bu etkileşim, sağlıklı bireylerde pek bir önem taşımasa da yaşlılık ya da karaciğer sirozu gibi diğer faktörler </w:t>
      </w:r>
      <w:proofErr w:type="spellStart"/>
      <w:r w:rsidRPr="005157EC">
        <w:rPr>
          <w:rFonts w:ascii="Times New Roman" w:hAnsi="Times New Roman"/>
          <w:sz w:val="24"/>
          <w:szCs w:val="24"/>
        </w:rPr>
        <w:t>advers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etkilerin riskini artırabilir.</w:t>
      </w:r>
    </w:p>
    <w:p w:rsidR="002D6DED" w:rsidRPr="005157EC" w:rsidRDefault="002D6DED" w:rsidP="001934DD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</w:p>
    <w:p w:rsidR="00937F7B" w:rsidRPr="005157EC" w:rsidRDefault="00007A15" w:rsidP="00953661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b/>
          <w:sz w:val="24"/>
          <w:szCs w:val="24"/>
        </w:rPr>
        <w:lastRenderedPageBreak/>
        <w:t xml:space="preserve">4.6. Gebelik ve </w:t>
      </w:r>
      <w:proofErr w:type="spellStart"/>
      <w:r w:rsidRPr="005157EC">
        <w:rPr>
          <w:rFonts w:ascii="Times New Roman" w:hAnsi="Times New Roman"/>
          <w:b/>
          <w:sz w:val="24"/>
          <w:szCs w:val="24"/>
        </w:rPr>
        <w:t>laktasyon</w:t>
      </w:r>
      <w:proofErr w:type="spellEnd"/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de-DE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tavsiye</w:t>
      </w:r>
    </w:p>
    <w:p w:rsidR="00937F7B" w:rsidRPr="005157EC" w:rsidRDefault="00937F7B" w:rsidP="00953661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 xml:space="preserve">Gebelik kategorisi </w:t>
      </w:r>
      <w:proofErr w:type="spellStart"/>
      <w:r w:rsidRPr="005157EC">
        <w:rPr>
          <w:rFonts w:ascii="Times New Roman" w:hAnsi="Times New Roman"/>
          <w:sz w:val="24"/>
          <w:szCs w:val="24"/>
        </w:rPr>
        <w:t>D’dir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. </w:t>
      </w:r>
    </w:p>
    <w:p w:rsidR="00937F7B" w:rsidRPr="005157EC" w:rsidRDefault="00937F7B" w:rsidP="00953661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b/>
          <w:bCs/>
          <w:sz w:val="24"/>
          <w:szCs w:val="24"/>
        </w:rPr>
        <w:t>Çocuk do</w:t>
      </w:r>
      <w:r w:rsidRPr="005157EC">
        <w:rPr>
          <w:rFonts w:ascii="Times New Roman" w:hAnsi="Times New Roman" w:hint="eastAsia"/>
          <w:b/>
          <w:bCs/>
          <w:sz w:val="24"/>
          <w:szCs w:val="24"/>
        </w:rPr>
        <w:t>ğ</w:t>
      </w:r>
      <w:r w:rsidRPr="005157EC">
        <w:rPr>
          <w:rFonts w:ascii="Times New Roman" w:hAnsi="Times New Roman"/>
          <w:b/>
          <w:bCs/>
          <w:sz w:val="24"/>
          <w:szCs w:val="24"/>
        </w:rPr>
        <w:t>urma potansiyeli bulunan kad</w:t>
      </w:r>
      <w:r w:rsidRPr="005157EC">
        <w:rPr>
          <w:rFonts w:ascii="Times New Roman" w:hAnsi="Times New Roman" w:hint="eastAsia"/>
          <w:b/>
          <w:bCs/>
          <w:sz w:val="24"/>
          <w:szCs w:val="24"/>
        </w:rPr>
        <w:t>ı</w:t>
      </w:r>
      <w:r w:rsidRPr="005157EC">
        <w:rPr>
          <w:rFonts w:ascii="Times New Roman" w:hAnsi="Times New Roman"/>
          <w:b/>
          <w:bCs/>
          <w:sz w:val="24"/>
          <w:szCs w:val="24"/>
        </w:rPr>
        <w:t>nlar/Do</w:t>
      </w:r>
      <w:r w:rsidRPr="005157EC">
        <w:rPr>
          <w:rFonts w:ascii="Times New Roman" w:hAnsi="Times New Roman" w:hint="eastAsia"/>
          <w:b/>
          <w:bCs/>
          <w:sz w:val="24"/>
          <w:szCs w:val="24"/>
        </w:rPr>
        <w:t>ğ</w:t>
      </w:r>
      <w:r w:rsidRPr="005157EC">
        <w:rPr>
          <w:rFonts w:ascii="Times New Roman" w:hAnsi="Times New Roman"/>
          <w:b/>
          <w:bCs/>
          <w:sz w:val="24"/>
          <w:szCs w:val="24"/>
        </w:rPr>
        <w:t>um kontrolü (</w:t>
      </w:r>
      <w:proofErr w:type="spellStart"/>
      <w:r w:rsidRPr="005157EC">
        <w:rPr>
          <w:rFonts w:ascii="Times New Roman" w:hAnsi="Times New Roman"/>
          <w:b/>
          <w:bCs/>
          <w:sz w:val="24"/>
          <w:szCs w:val="24"/>
        </w:rPr>
        <w:t>Kontrasepsiyon</w:t>
      </w:r>
      <w:proofErr w:type="spellEnd"/>
      <w:r w:rsidRPr="005157EC">
        <w:rPr>
          <w:rFonts w:ascii="Times New Roman" w:hAnsi="Times New Roman"/>
          <w:b/>
          <w:bCs/>
          <w:sz w:val="24"/>
          <w:szCs w:val="24"/>
        </w:rPr>
        <w:t>)</w:t>
      </w:r>
    </w:p>
    <w:p w:rsidR="001934DD" w:rsidRPr="005157EC" w:rsidRDefault="001934DD" w:rsidP="001934DD">
      <w:pPr>
        <w:pStyle w:val="GvdeMetni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157EC">
        <w:rPr>
          <w:rFonts w:ascii="Times New Roman" w:hAnsi="Times New Roman"/>
          <w:sz w:val="24"/>
          <w:szCs w:val="24"/>
        </w:rPr>
        <w:t xml:space="preserve">Hamileliğin ilk üç ayında kullanımı ile </w:t>
      </w:r>
      <w:proofErr w:type="spellStart"/>
      <w:r w:rsidRPr="005157EC">
        <w:rPr>
          <w:rFonts w:ascii="Times New Roman" w:hAnsi="Times New Roman"/>
          <w:sz w:val="24"/>
          <w:szCs w:val="24"/>
        </w:rPr>
        <w:t>konjenital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7EC">
        <w:rPr>
          <w:rFonts w:ascii="Times New Roman" w:hAnsi="Times New Roman"/>
          <w:sz w:val="24"/>
          <w:szCs w:val="24"/>
        </w:rPr>
        <w:t>malformasyon</w:t>
      </w:r>
      <w:proofErr w:type="spellEnd"/>
      <w:r w:rsidRPr="005157EC">
        <w:rPr>
          <w:rFonts w:ascii="Times New Roman" w:hAnsi="Times New Roman"/>
          <w:sz w:val="24"/>
          <w:szCs w:val="24"/>
        </w:rPr>
        <w:t xml:space="preserve"> riski artacağından </w:t>
      </w:r>
      <w:r w:rsidRPr="005157EC">
        <w:rPr>
          <w:rFonts w:ascii="Times New Roman" w:hAnsi="Times New Roman"/>
          <w:bCs/>
          <w:sz w:val="24"/>
          <w:szCs w:val="24"/>
        </w:rPr>
        <w:t xml:space="preserve">çocuk doğurma potansiyeli bulunan kadınlarda kullanımı önerilmez ve uygun bir doğum kontrol yöntemi uygulanması önerilir. </w:t>
      </w:r>
    </w:p>
    <w:p w:rsidR="001934DD" w:rsidRPr="005157EC" w:rsidRDefault="001934DD" w:rsidP="001934DD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157EC">
        <w:rPr>
          <w:rFonts w:ascii="Times New Roman" w:hAnsi="Times New Roman"/>
          <w:b/>
          <w:sz w:val="24"/>
          <w:szCs w:val="24"/>
        </w:rPr>
        <w:t>Gebelik dönemi</w:t>
      </w:r>
    </w:p>
    <w:p w:rsidR="001934DD" w:rsidRPr="005157EC" w:rsidRDefault="001934DD" w:rsidP="001934DD">
      <w:pPr>
        <w:pStyle w:val="GvdeMetni"/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5157EC">
        <w:rPr>
          <w:rFonts w:ascii="Times New Roman" w:hAnsi="Times New Roman"/>
          <w:bCs/>
          <w:sz w:val="24"/>
          <w:szCs w:val="24"/>
        </w:rPr>
        <w:t>Diazepam</w:t>
      </w:r>
      <w:r w:rsidRPr="005157EC">
        <w:rPr>
          <w:rFonts w:ascii="Times New Roman" w:hAnsi="Times New Roman" w:hint="eastAsia"/>
          <w:bCs/>
          <w:sz w:val="24"/>
          <w:szCs w:val="24"/>
        </w:rPr>
        <w:t>’</w:t>
      </w:r>
      <w:r w:rsidRPr="005157EC">
        <w:rPr>
          <w:rFonts w:ascii="Times New Roman" w:hAnsi="Times New Roman"/>
          <w:bCs/>
          <w:sz w:val="24"/>
          <w:szCs w:val="24"/>
        </w:rPr>
        <w:t>ın</w:t>
      </w:r>
      <w:proofErr w:type="spellEnd"/>
      <w:r w:rsidRPr="005157EC">
        <w:rPr>
          <w:rFonts w:ascii="Times New Roman" w:hAnsi="Times New Roman"/>
          <w:bCs/>
          <w:sz w:val="24"/>
          <w:szCs w:val="24"/>
        </w:rPr>
        <w:t xml:space="preserve"> gebelik ve/veya </w:t>
      </w:r>
      <w:proofErr w:type="spellStart"/>
      <w:r w:rsidRPr="005157EC">
        <w:rPr>
          <w:rFonts w:ascii="Times New Roman" w:hAnsi="Times New Roman"/>
          <w:bCs/>
          <w:sz w:val="24"/>
          <w:szCs w:val="24"/>
        </w:rPr>
        <w:t>fetus</w:t>
      </w:r>
      <w:proofErr w:type="spellEnd"/>
      <w:r w:rsidRPr="005157EC">
        <w:rPr>
          <w:rFonts w:ascii="Times New Roman" w:hAnsi="Times New Roman"/>
          <w:bCs/>
          <w:sz w:val="24"/>
          <w:szCs w:val="24"/>
        </w:rPr>
        <w:t>/yeni do</w:t>
      </w:r>
      <w:r w:rsidRPr="005157EC">
        <w:rPr>
          <w:rFonts w:ascii="Times New Roman" w:hAnsi="Times New Roman" w:hint="eastAsia"/>
          <w:bCs/>
          <w:sz w:val="24"/>
          <w:szCs w:val="24"/>
        </w:rPr>
        <w:t>ğ</w:t>
      </w:r>
      <w:r w:rsidRPr="005157EC">
        <w:rPr>
          <w:rFonts w:ascii="Times New Roman" w:hAnsi="Times New Roman"/>
          <w:bCs/>
          <w:sz w:val="24"/>
          <w:szCs w:val="24"/>
        </w:rPr>
        <w:t>an üzerinde zararl</w:t>
      </w:r>
      <w:r w:rsidRPr="005157EC">
        <w:rPr>
          <w:rFonts w:ascii="Times New Roman" w:hAnsi="Times New Roman" w:hint="eastAsia"/>
          <w:bCs/>
          <w:sz w:val="24"/>
          <w:szCs w:val="24"/>
        </w:rPr>
        <w:t>ı</w:t>
      </w:r>
      <w:r w:rsidRPr="005157EC">
        <w:rPr>
          <w:rFonts w:ascii="Times New Roman" w:hAnsi="Times New Roman"/>
          <w:bCs/>
          <w:sz w:val="24"/>
          <w:szCs w:val="24"/>
        </w:rPr>
        <w:t xml:space="preserve"> farmakolojik etkileri bulunmaktad</w:t>
      </w:r>
      <w:r w:rsidRPr="005157EC">
        <w:rPr>
          <w:rFonts w:ascii="Times New Roman" w:hAnsi="Times New Roman" w:hint="eastAsia"/>
          <w:bCs/>
          <w:sz w:val="24"/>
          <w:szCs w:val="24"/>
        </w:rPr>
        <w:t>ı</w:t>
      </w:r>
      <w:r w:rsidRPr="005157EC">
        <w:rPr>
          <w:rFonts w:ascii="Times New Roman" w:hAnsi="Times New Roman"/>
          <w:bCs/>
          <w:sz w:val="24"/>
          <w:szCs w:val="24"/>
        </w:rPr>
        <w:t>r.</w:t>
      </w:r>
    </w:p>
    <w:p w:rsidR="001934DD" w:rsidRPr="005157EC" w:rsidRDefault="001934DD" w:rsidP="001934DD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157EC">
        <w:rPr>
          <w:rFonts w:ascii="Times New Roman" w:hAnsi="Times New Roman"/>
          <w:bCs/>
          <w:sz w:val="24"/>
          <w:szCs w:val="24"/>
        </w:rPr>
        <w:t>Diazem</w:t>
      </w:r>
      <w:proofErr w:type="spellEnd"/>
      <w:r w:rsidRPr="005157EC">
        <w:rPr>
          <w:rFonts w:ascii="Times New Roman" w:hAnsi="Times New Roman"/>
          <w:bCs/>
          <w:sz w:val="24"/>
          <w:szCs w:val="24"/>
        </w:rPr>
        <w:t xml:space="preserve"> gerekli olmadıkça (bunun koşulları belirtilmelidir) gebelik döneminde kullan</w:t>
      </w:r>
      <w:r w:rsidRPr="005157EC">
        <w:rPr>
          <w:rFonts w:ascii="Times New Roman" w:hAnsi="Times New Roman" w:hint="eastAsia"/>
          <w:bCs/>
          <w:sz w:val="24"/>
          <w:szCs w:val="24"/>
        </w:rPr>
        <w:t>ı</w:t>
      </w:r>
      <w:r w:rsidRPr="005157EC">
        <w:rPr>
          <w:rFonts w:ascii="Times New Roman" w:hAnsi="Times New Roman"/>
          <w:bCs/>
          <w:sz w:val="24"/>
          <w:szCs w:val="24"/>
        </w:rPr>
        <w:t>lmamal</w:t>
      </w:r>
      <w:r w:rsidRPr="005157EC">
        <w:rPr>
          <w:rFonts w:ascii="Times New Roman" w:hAnsi="Times New Roman" w:hint="eastAsia"/>
          <w:bCs/>
          <w:sz w:val="24"/>
          <w:szCs w:val="24"/>
        </w:rPr>
        <w:t>ı</w:t>
      </w:r>
      <w:r w:rsidRPr="005157EC">
        <w:rPr>
          <w:rFonts w:ascii="Times New Roman" w:hAnsi="Times New Roman"/>
          <w:bCs/>
          <w:sz w:val="24"/>
          <w:szCs w:val="24"/>
        </w:rPr>
        <w:t>d</w:t>
      </w:r>
      <w:r w:rsidRPr="005157EC">
        <w:rPr>
          <w:rFonts w:ascii="Times New Roman" w:hAnsi="Times New Roman" w:hint="eastAsia"/>
          <w:bCs/>
          <w:sz w:val="24"/>
          <w:szCs w:val="24"/>
        </w:rPr>
        <w:t>ı</w:t>
      </w:r>
      <w:r w:rsidRPr="005157EC">
        <w:rPr>
          <w:rFonts w:ascii="Times New Roman" w:hAnsi="Times New Roman"/>
          <w:bCs/>
          <w:sz w:val="24"/>
          <w:szCs w:val="24"/>
        </w:rPr>
        <w:t>r.</w:t>
      </w:r>
    </w:p>
    <w:p w:rsidR="00973510" w:rsidRPr="005157EC" w:rsidRDefault="00580CD3">
      <w:pPr>
        <w:pStyle w:val="GvdeMetni"/>
        <w:spacing w:line="360" w:lineRule="auto"/>
        <w:rPr>
          <w:rFonts w:ascii="Times New Roman" w:hAnsi="Times New Roman"/>
          <w:sz w:val="24"/>
        </w:rPr>
      </w:pPr>
      <w:proofErr w:type="spellStart"/>
      <w:r w:rsidRPr="005157EC">
        <w:rPr>
          <w:rFonts w:ascii="Times New Roman" w:hAnsi="Times New Roman"/>
          <w:sz w:val="24"/>
        </w:rPr>
        <w:t>Diazepam</w:t>
      </w:r>
      <w:proofErr w:type="spellEnd"/>
      <w:r w:rsidRPr="005157EC">
        <w:rPr>
          <w:rFonts w:ascii="Times New Roman" w:hAnsi="Times New Roman"/>
          <w:sz w:val="24"/>
        </w:rPr>
        <w:t xml:space="preserve"> rahatlıkla plasentaya geçer. Hamileliğin ilk üç ayında kullanımı ile </w:t>
      </w:r>
      <w:proofErr w:type="spellStart"/>
      <w:r w:rsidRPr="005157EC">
        <w:rPr>
          <w:rFonts w:ascii="Times New Roman" w:hAnsi="Times New Roman"/>
          <w:sz w:val="24"/>
        </w:rPr>
        <w:t>konjenital</w:t>
      </w:r>
      <w:proofErr w:type="spellEnd"/>
      <w:r w:rsidRPr="005157EC">
        <w:rPr>
          <w:rFonts w:ascii="Times New Roman" w:hAnsi="Times New Roman"/>
          <w:sz w:val="24"/>
        </w:rPr>
        <w:t xml:space="preserve"> </w:t>
      </w:r>
      <w:proofErr w:type="spellStart"/>
      <w:r w:rsidRPr="005157EC">
        <w:rPr>
          <w:rFonts w:ascii="Times New Roman" w:hAnsi="Times New Roman"/>
          <w:sz w:val="24"/>
        </w:rPr>
        <w:t>malformasyon</w:t>
      </w:r>
      <w:proofErr w:type="spellEnd"/>
      <w:r w:rsidRPr="005157EC">
        <w:rPr>
          <w:rFonts w:ascii="Times New Roman" w:hAnsi="Times New Roman"/>
          <w:sz w:val="24"/>
        </w:rPr>
        <w:t xml:space="preserve"> riski artar. Bu yüzden hamilelik süresince risk/yarar oranı dikkatli değerlendirilmelidir. Bu arada </w:t>
      </w:r>
      <w:proofErr w:type="spellStart"/>
      <w:r w:rsidRPr="005157EC">
        <w:rPr>
          <w:rFonts w:ascii="Times New Roman" w:hAnsi="Times New Roman"/>
          <w:sz w:val="24"/>
        </w:rPr>
        <w:t>benzodiazepin</w:t>
      </w:r>
      <w:proofErr w:type="spellEnd"/>
      <w:r w:rsidRPr="005157EC">
        <w:rPr>
          <w:rFonts w:ascii="Times New Roman" w:hAnsi="Times New Roman"/>
          <w:sz w:val="24"/>
        </w:rPr>
        <w:t xml:space="preserve"> kullanımına nadir olarak acil ihtiyaç duyulduğundan, hamilelik süresinde genel olarak </w:t>
      </w:r>
      <w:proofErr w:type="spellStart"/>
      <w:r w:rsidRPr="005157EC">
        <w:rPr>
          <w:rFonts w:ascii="Times New Roman" w:hAnsi="Times New Roman"/>
          <w:sz w:val="24"/>
        </w:rPr>
        <w:t>diazepam</w:t>
      </w:r>
      <w:proofErr w:type="spellEnd"/>
      <w:r w:rsidRPr="005157EC">
        <w:rPr>
          <w:rFonts w:ascii="Times New Roman" w:hAnsi="Times New Roman"/>
          <w:sz w:val="24"/>
        </w:rPr>
        <w:t xml:space="preserve"> kullanımından kaçınmak gerekir.</w:t>
      </w:r>
      <w:r w:rsidR="00937F7B" w:rsidRPr="005157EC">
        <w:rPr>
          <w:rFonts w:ascii="Times New Roman" w:hAnsi="Times New Roman"/>
          <w:sz w:val="24"/>
          <w:szCs w:val="24"/>
        </w:rPr>
        <w:t xml:space="preserve"> </w:t>
      </w:r>
    </w:p>
    <w:p w:rsidR="00937F7B" w:rsidRPr="005157EC" w:rsidRDefault="00937F7B" w:rsidP="00953661">
      <w:pPr>
        <w:keepNext/>
        <w:widowControl w:val="0"/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dönemi</w:t>
      </w:r>
    </w:p>
    <w:p w:rsidR="00FA7A02" w:rsidRPr="005157EC" w:rsidRDefault="00937F7B" w:rsidP="00DC0395">
      <w:pPr>
        <w:pStyle w:val="GvdeMetni"/>
        <w:spacing w:line="360" w:lineRule="auto"/>
        <w:rPr>
          <w:rFonts w:ascii="Times New Roman" w:hAnsi="Times New Roman"/>
          <w:sz w:val="24"/>
        </w:rPr>
      </w:pPr>
      <w:proofErr w:type="spellStart"/>
      <w:r w:rsidRPr="005157EC">
        <w:rPr>
          <w:rFonts w:ascii="Times New Roman" w:hAnsi="Times New Roman"/>
          <w:sz w:val="24"/>
        </w:rPr>
        <w:t>Diazepam</w:t>
      </w:r>
      <w:proofErr w:type="spellEnd"/>
      <w:r w:rsidRPr="005157EC">
        <w:rPr>
          <w:rFonts w:ascii="Times New Roman" w:hAnsi="Times New Roman"/>
          <w:sz w:val="24"/>
        </w:rPr>
        <w:t xml:space="preserve"> ve N-</w:t>
      </w:r>
      <w:proofErr w:type="spellStart"/>
      <w:r w:rsidRPr="005157EC">
        <w:rPr>
          <w:rFonts w:ascii="Times New Roman" w:hAnsi="Times New Roman"/>
          <w:sz w:val="24"/>
        </w:rPr>
        <w:t>desmetildiazepam</w:t>
      </w:r>
      <w:proofErr w:type="spellEnd"/>
      <w:r w:rsidRPr="005157EC">
        <w:rPr>
          <w:rFonts w:ascii="Times New Roman" w:hAnsi="Times New Roman"/>
          <w:sz w:val="24"/>
        </w:rPr>
        <w:t xml:space="preserve"> anne sütüne rahatlıkla geçtiğinden, emziren kadınların bu dönemde bu ilacı kullanmaktan kaçınmaları gerekir.</w:t>
      </w:r>
    </w:p>
    <w:p w:rsidR="00937F7B" w:rsidRPr="005157EC" w:rsidRDefault="00937F7B" w:rsidP="00953661">
      <w:pPr>
        <w:keepNext/>
        <w:widowControl w:val="0"/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Üreme yetene</w:t>
      </w:r>
      <w:r w:rsidRPr="005157EC">
        <w:rPr>
          <w:rFonts w:ascii="Times New Roman" w:hAnsi="Times New Roman" w:hint="eastAsia"/>
          <w:b/>
          <w:spacing w:val="0"/>
          <w:position w:val="0"/>
          <w:sz w:val="24"/>
          <w:szCs w:val="24"/>
          <w:lang w:val="tr-TR"/>
        </w:rPr>
        <w:t>ğ</w:t>
      </w: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i /</w:t>
      </w:r>
      <w:proofErr w:type="spellStart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Fertilite</w:t>
      </w:r>
      <w:proofErr w:type="spellEnd"/>
    </w:p>
    <w:p w:rsidR="00007A15" w:rsidRPr="005157EC" w:rsidRDefault="001934DD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Farelerde ve sıçanlarda yapılan çalışmalarda, </w:t>
      </w:r>
      <w:r w:rsidR="00937F7B" w:rsidRPr="005157EC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80 mg/kg/gün </w:t>
      </w:r>
      <w:proofErr w:type="spellStart"/>
      <w:r w:rsidR="00937F7B" w:rsidRPr="005157EC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diazepam</w:t>
      </w:r>
      <w:proofErr w:type="spellEnd"/>
      <w:r w:rsidR="00937F7B" w:rsidRPr="005157EC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dozunun </w:t>
      </w:r>
      <w:proofErr w:type="spellStart"/>
      <w:r w:rsidR="00937F7B" w:rsidRPr="005157EC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fertilite</w:t>
      </w:r>
      <w:proofErr w:type="spellEnd"/>
      <w:r w:rsidR="00937F7B" w:rsidRPr="005157EC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veya yavruların yaşama yeteneği üzerine herhangi bir </w:t>
      </w:r>
      <w:proofErr w:type="spellStart"/>
      <w:r w:rsidR="00937F7B" w:rsidRPr="005157EC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advers</w:t>
      </w:r>
      <w:proofErr w:type="spellEnd"/>
      <w:r w:rsidR="00937F7B" w:rsidRPr="005157EC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etkisi bulunmamıştır. (mg/m² olarak tavsiye edilen maksimum insan dozunun yaklaşık 13 katı).</w:t>
      </w:r>
      <w:r w:rsidR="00007A15"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</w:p>
    <w:p w:rsidR="00FA7A02" w:rsidRPr="005157EC" w:rsidRDefault="00FA7A02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37F7B" w:rsidRPr="005157EC" w:rsidRDefault="00007A15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4.7. Araç ve makine kullanımı üzerindeki etkiler</w:t>
      </w:r>
    </w:p>
    <w:p w:rsidR="00FC16FD" w:rsidRPr="005157EC" w:rsidRDefault="00FC16FD" w:rsidP="00FC16FD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Santral sinir sistemine etki eden birçok ilaç gibi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dikkat ve uyanıklıkta azalmaya yol açabileceği için taşıt sürücüleri ve makine operatörleri için tehlikeli sonuçlar yaratabilir.</w:t>
      </w:r>
    </w:p>
    <w:tbl>
      <w:tblPr>
        <w:tblW w:w="9548" w:type="dxa"/>
        <w:tblLook w:val="01E0"/>
      </w:tblPr>
      <w:tblGrid>
        <w:gridCol w:w="9548"/>
      </w:tblGrid>
      <w:tr w:rsidR="003E6A90" w:rsidRPr="005157EC" w:rsidTr="00937F7B">
        <w:trPr>
          <w:trHeight w:val="561"/>
        </w:trPr>
        <w:tc>
          <w:tcPr>
            <w:tcW w:w="9548" w:type="dxa"/>
            <w:vAlign w:val="center"/>
          </w:tcPr>
          <w:p w:rsidR="006B1245" w:rsidRPr="005157EC" w:rsidRDefault="006B1245" w:rsidP="00953661">
            <w:pPr>
              <w:spacing w:line="360" w:lineRule="auto"/>
              <w:jc w:val="both"/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</w:pPr>
          </w:p>
          <w:p w:rsidR="003E6A90" w:rsidRPr="005157EC" w:rsidRDefault="003E6A90" w:rsidP="00953661">
            <w:pPr>
              <w:spacing w:line="360" w:lineRule="auto"/>
              <w:jc w:val="both"/>
            </w:pP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4.8</w:t>
            </w:r>
            <w:r w:rsidR="004F40B9"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.</w:t>
            </w: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 xml:space="preserve"> İstenmeyen etkiler</w:t>
            </w:r>
          </w:p>
        </w:tc>
      </w:tr>
    </w:tbl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Çok yayg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(≥1/10); yayg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(≥1/100 ila &lt;1/10); yayg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olmayan (≥1/1.000 ila &lt;1/100); seyrek</w:t>
      </w:r>
      <w:r w:rsidR="001934D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(≥1/10.000 ila &lt;1/1.000); çok seyrek (&lt;1/10.000), bilinmiyor (eldeki verilerden hareketle tahmin edilemiyor).</w:t>
      </w:r>
    </w:p>
    <w:p w:rsidR="0040596E" w:rsidRPr="005157EC" w:rsidRDefault="0040596E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Kan ve lenf sistemi hastalıkları</w:t>
      </w:r>
    </w:p>
    <w:p w:rsidR="0040596E" w:rsidRPr="005157EC" w:rsidRDefault="007611F7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Bilinmiyor:</w:t>
      </w:r>
      <w:r w:rsidR="001934D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40596E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Nötropeni</w:t>
      </w:r>
      <w:proofErr w:type="spellEnd"/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Psikiyatrik hastalıkları</w:t>
      </w:r>
    </w:p>
    <w:p w:rsidR="00973510" w:rsidRPr="005157EC" w:rsidRDefault="001934DD">
      <w:pPr>
        <w:spacing w:line="360" w:lineRule="auto"/>
        <w:jc w:val="both"/>
        <w:rPr>
          <w:rFonts w:ascii="Times New Roman" w:hAnsi="Times New Roman"/>
          <w:sz w:val="24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Yaygın: </w:t>
      </w:r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Uyuklama, halsizlik, bitkinlik</w:t>
      </w:r>
    </w:p>
    <w:p w:rsidR="00937F7B" w:rsidRPr="005157EC" w:rsidRDefault="001934DD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lastRenderedPageBreak/>
        <w:t xml:space="preserve">Seyrek: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Mental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konfüzyon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,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mental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depresyon, uykuya dalmada güçlük,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eksitasyon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, sinirlilik veya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irritabilite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gibi paradoksal reaksiyonlar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•  Sinir sistemi hastalıkları </w:t>
      </w:r>
    </w:p>
    <w:p w:rsidR="00937F7B" w:rsidRPr="005157EC" w:rsidRDefault="001934DD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Seyrek: 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Baş ağrısı, baş dönmesi, konuşurken dilin dolaşması (</w:t>
      </w:r>
      <w:proofErr w:type="spellStart"/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disartri</w:t>
      </w:r>
      <w:proofErr w:type="spellEnd"/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•  Göz hastalıkları </w:t>
      </w:r>
    </w:p>
    <w:p w:rsidR="00251458" w:rsidRPr="005157EC" w:rsidRDefault="001934DD" w:rsidP="009536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Seyrek: </w:t>
      </w:r>
      <w:r w:rsidR="00251458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Bulanık görme veya diğer </w:t>
      </w:r>
      <w:proofErr w:type="spellStart"/>
      <w:r w:rsidR="00251458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vizüel</w:t>
      </w:r>
      <w:proofErr w:type="spellEnd"/>
      <w:r w:rsidR="00251458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değişiklikler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•  </w:t>
      </w:r>
      <w:proofErr w:type="spellStart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Gastrointestinal</w:t>
      </w:r>
      <w:proofErr w:type="spellEnd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937F7B" w:rsidRPr="005157EC" w:rsidRDefault="001934DD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Seyrek: </w:t>
      </w:r>
      <w:proofErr w:type="spellStart"/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Konstipasyon</w:t>
      </w:r>
      <w:proofErr w:type="spellEnd"/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r w:rsidR="00251458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kusma, 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bulantı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•  </w:t>
      </w:r>
      <w:proofErr w:type="spellStart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Hepato</w:t>
      </w:r>
      <w:proofErr w:type="spellEnd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-</w:t>
      </w:r>
      <w:proofErr w:type="spellStart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bilier</w:t>
      </w:r>
      <w:proofErr w:type="spellEnd"/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937F7B" w:rsidRPr="005157EC" w:rsidRDefault="001934DD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Seyrek: 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Sarılık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•  Deri ve</w:t>
      </w:r>
      <w:r w:rsidR="00580CD3" w:rsidRPr="005157EC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 deri </w:t>
      </w: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altı doku hastalıkları </w:t>
      </w:r>
    </w:p>
    <w:p w:rsidR="00973510" w:rsidRPr="005157EC" w:rsidRDefault="001934DD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Seyrek: 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Deri </w:t>
      </w:r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döküntüleri ve kaşınma</w:t>
      </w:r>
    </w:p>
    <w:p w:rsidR="00BC5F4B" w:rsidRPr="005157EC" w:rsidRDefault="00BC5F4B" w:rsidP="00BC5F4B">
      <w:pPr>
        <w:spacing w:line="360" w:lineRule="auto"/>
        <w:jc w:val="both"/>
        <w:rPr>
          <w:rFonts w:ascii="Times-Roman" w:hAnsi="Times-Roman" w:cs="Times-Roman"/>
          <w:spacing w:val="0"/>
          <w:kern w:val="0"/>
          <w:position w:val="0"/>
          <w:sz w:val="24"/>
          <w:szCs w:val="24"/>
          <w:u w:val="single"/>
          <w:lang w:val="tr-TR"/>
        </w:rPr>
      </w:pPr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u w:val="single"/>
          <w:lang w:val="tr-TR"/>
        </w:rPr>
        <w:t xml:space="preserve">Şüpheli </w:t>
      </w:r>
      <w:proofErr w:type="spellStart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u w:val="single"/>
          <w:lang w:val="tr-TR"/>
        </w:rPr>
        <w:t>advers</w:t>
      </w:r>
      <w:proofErr w:type="spellEnd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u w:val="single"/>
          <w:lang w:val="tr-TR"/>
        </w:rPr>
        <w:t xml:space="preserve"> reaksiyonların raporlanması</w:t>
      </w:r>
    </w:p>
    <w:p w:rsidR="00BC5F4B" w:rsidRPr="005157EC" w:rsidRDefault="00BC5F4B" w:rsidP="00BC5F4B">
      <w:pPr>
        <w:spacing w:line="360" w:lineRule="auto"/>
        <w:jc w:val="both"/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</w:pPr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 xml:space="preserve">Ruhsatlandırma sonrası şüpheli ilaç </w:t>
      </w:r>
      <w:proofErr w:type="spellStart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>advers</w:t>
      </w:r>
      <w:proofErr w:type="spellEnd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>advers</w:t>
      </w:r>
      <w:proofErr w:type="spellEnd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 xml:space="preserve"> reaksiyonu Türkiye </w:t>
      </w:r>
      <w:proofErr w:type="spellStart"/>
      <w:r w:rsidR="000B2A02"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>Farmakovijilans</w:t>
      </w:r>
      <w:proofErr w:type="spellEnd"/>
      <w:r w:rsidR="000B2A02"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 xml:space="preserve"> Merkezi (TÜFAM)’</w:t>
      </w:r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>ne bildirmeleri gerekmektedir. (www.</w:t>
      </w:r>
      <w:proofErr w:type="spellStart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>titck</w:t>
      </w:r>
      <w:proofErr w:type="spellEnd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 xml:space="preserve">.gov.tr; e-posta: </w:t>
      </w:r>
      <w:proofErr w:type="spellStart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>tufam</w:t>
      </w:r>
      <w:proofErr w:type="spellEnd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>@</w:t>
      </w:r>
      <w:proofErr w:type="spellStart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>titck</w:t>
      </w:r>
      <w:proofErr w:type="spellEnd"/>
      <w:r w:rsidRPr="005157EC">
        <w:rPr>
          <w:rFonts w:ascii="Times-Roman" w:hAnsi="Times-Roman" w:cs="Times-Roman"/>
          <w:spacing w:val="0"/>
          <w:kern w:val="0"/>
          <w:position w:val="0"/>
          <w:sz w:val="24"/>
          <w:szCs w:val="24"/>
          <w:lang w:val="tr-TR"/>
        </w:rPr>
        <w:t>.gov.tr; tel: 0 800 314 00 08; faks: 0 312 218 35 99)</w:t>
      </w:r>
    </w:p>
    <w:p w:rsidR="001934DD" w:rsidRPr="005157EC" w:rsidRDefault="001934DD">
      <w:pPr>
        <w:spacing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/>
      </w:tblPr>
      <w:tblGrid>
        <w:gridCol w:w="9548"/>
      </w:tblGrid>
      <w:tr w:rsidR="003E6A90" w:rsidRPr="005157EC" w:rsidTr="00825E11">
        <w:trPr>
          <w:trHeight w:val="561"/>
        </w:trPr>
        <w:tc>
          <w:tcPr>
            <w:tcW w:w="9548" w:type="dxa"/>
            <w:vAlign w:val="center"/>
          </w:tcPr>
          <w:p w:rsidR="003E6A90" w:rsidRPr="005157EC" w:rsidRDefault="003E6A90" w:rsidP="00953661">
            <w:pPr>
              <w:spacing w:line="360" w:lineRule="auto"/>
              <w:jc w:val="both"/>
            </w:pP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4.9</w:t>
            </w:r>
            <w:r w:rsidR="004F40B9"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.</w:t>
            </w: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 xml:space="preserve"> Doz aşımı</w:t>
            </w:r>
            <w:r w:rsidR="004F40B9"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 xml:space="preserve"> ve tedavisi</w:t>
            </w:r>
          </w:p>
        </w:tc>
      </w:tr>
    </w:tbl>
    <w:p w:rsidR="00937F7B" w:rsidRPr="005157EC" w:rsidRDefault="00580CD3" w:rsidP="00953661">
      <w:pPr>
        <w:pStyle w:val="GvdeMetni"/>
        <w:spacing w:line="360" w:lineRule="auto"/>
        <w:rPr>
          <w:rFonts w:ascii="Times New Roman" w:hAnsi="Times New Roman"/>
          <w:kern w:val="32"/>
          <w:sz w:val="24"/>
          <w:szCs w:val="24"/>
        </w:rPr>
      </w:pPr>
      <w:r w:rsidRPr="005157EC">
        <w:rPr>
          <w:rFonts w:ascii="Times New Roman" w:hAnsi="Times New Roman"/>
          <w:kern w:val="32"/>
          <w:sz w:val="24"/>
        </w:rPr>
        <w:t>Belirtiler:</w:t>
      </w:r>
      <w:r w:rsidR="00541A58" w:rsidRPr="005157EC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541A58" w:rsidRPr="005157EC" w:rsidRDefault="00541A58" w:rsidP="00953661">
      <w:pPr>
        <w:pStyle w:val="GvdeMetni"/>
        <w:spacing w:line="360" w:lineRule="auto"/>
        <w:rPr>
          <w:rFonts w:ascii="Times New Roman" w:hAnsi="Times New Roman"/>
          <w:kern w:val="32"/>
          <w:sz w:val="24"/>
          <w:szCs w:val="24"/>
        </w:rPr>
      </w:pPr>
      <w:r w:rsidRPr="005157EC">
        <w:rPr>
          <w:rFonts w:ascii="Times New Roman" w:hAnsi="Times New Roman"/>
          <w:kern w:val="32"/>
          <w:sz w:val="24"/>
          <w:szCs w:val="24"/>
        </w:rPr>
        <w:t xml:space="preserve">Yüksek dozda uyuklama,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mental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konfüzyon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, ayakta duramama, konuşmada güçlük,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bradikardi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>, solunum zayıflaması, aşırı halsizlik görülebilir.</w:t>
      </w:r>
    </w:p>
    <w:p w:rsidR="00937F7B" w:rsidRPr="005157EC" w:rsidRDefault="00937F7B" w:rsidP="00953661">
      <w:pPr>
        <w:pStyle w:val="GvdeMetni"/>
        <w:spacing w:line="360" w:lineRule="auto"/>
        <w:rPr>
          <w:rFonts w:ascii="Times New Roman" w:hAnsi="Times New Roman"/>
          <w:kern w:val="32"/>
          <w:sz w:val="24"/>
          <w:szCs w:val="24"/>
        </w:rPr>
      </w:pPr>
      <w:r w:rsidRPr="005157EC">
        <w:rPr>
          <w:rFonts w:ascii="Times New Roman" w:hAnsi="Times New Roman"/>
          <w:kern w:val="32"/>
          <w:sz w:val="24"/>
          <w:szCs w:val="24"/>
        </w:rPr>
        <w:t>Önlem</w:t>
      </w:r>
      <w:r w:rsidR="00541A58" w:rsidRPr="005157EC">
        <w:rPr>
          <w:rFonts w:ascii="Times New Roman" w:hAnsi="Times New Roman"/>
          <w:kern w:val="32"/>
          <w:sz w:val="24"/>
          <w:szCs w:val="24"/>
        </w:rPr>
        <w:t xml:space="preserve">ler: </w:t>
      </w:r>
    </w:p>
    <w:p w:rsidR="00541A58" w:rsidRPr="005157EC" w:rsidRDefault="00541A58" w:rsidP="00953661">
      <w:pPr>
        <w:pStyle w:val="GvdeMetni"/>
        <w:spacing w:line="360" w:lineRule="auto"/>
        <w:rPr>
          <w:rFonts w:ascii="Times New Roman" w:hAnsi="Times New Roman"/>
          <w:kern w:val="32"/>
          <w:sz w:val="24"/>
          <w:szCs w:val="24"/>
        </w:rPr>
      </w:pPr>
      <w:r w:rsidRPr="005157EC">
        <w:rPr>
          <w:rFonts w:ascii="Times New Roman" w:hAnsi="Times New Roman"/>
          <w:kern w:val="32"/>
          <w:sz w:val="24"/>
          <w:szCs w:val="24"/>
        </w:rPr>
        <w:t xml:space="preserve">Hasta bilinçli ise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emesis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 mekanik olarak veya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emetiklerle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 sağlanır. Hasta bilinçsiz ise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gastrik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 lavaj yapılabilir. Solunum, nabız ve kan basıncı gözlenmelidir. Serum uygulanabilir. Hipotansiyon İ.V.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norepinefrin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 veya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metaraminolle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 kontrol altına alınabilir.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Eksitasyon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 oluşursa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barbitüratlar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 kullanılmamalıdır. </w:t>
      </w:r>
      <w:proofErr w:type="spellStart"/>
      <w:r w:rsidRPr="005157EC">
        <w:rPr>
          <w:rFonts w:ascii="Times New Roman" w:hAnsi="Times New Roman"/>
          <w:kern w:val="32"/>
          <w:sz w:val="24"/>
          <w:szCs w:val="24"/>
        </w:rPr>
        <w:t>Dializin</w:t>
      </w:r>
      <w:proofErr w:type="spellEnd"/>
      <w:r w:rsidRPr="005157EC">
        <w:rPr>
          <w:rFonts w:ascii="Times New Roman" w:hAnsi="Times New Roman"/>
          <w:kern w:val="32"/>
          <w:sz w:val="24"/>
          <w:szCs w:val="24"/>
        </w:rPr>
        <w:t xml:space="preserve"> pek bir önemi yoktur.</w:t>
      </w:r>
    </w:p>
    <w:p w:rsidR="001934DD" w:rsidRPr="005157EC" w:rsidRDefault="001934DD" w:rsidP="00953661">
      <w:pPr>
        <w:pStyle w:val="GvdeMetni"/>
        <w:spacing w:line="360" w:lineRule="auto"/>
        <w:rPr>
          <w:rFonts w:ascii="Times New Roman" w:hAnsi="Times New Roman"/>
          <w:kern w:val="32"/>
          <w:sz w:val="24"/>
          <w:szCs w:val="24"/>
        </w:rPr>
      </w:pPr>
    </w:p>
    <w:tbl>
      <w:tblPr>
        <w:tblW w:w="0" w:type="auto"/>
        <w:tblLook w:val="01E0"/>
      </w:tblPr>
      <w:tblGrid>
        <w:gridCol w:w="9548"/>
      </w:tblGrid>
      <w:tr w:rsidR="003E6A90" w:rsidRPr="005157EC" w:rsidTr="00825E11">
        <w:trPr>
          <w:trHeight w:val="561"/>
        </w:trPr>
        <w:tc>
          <w:tcPr>
            <w:tcW w:w="9548" w:type="dxa"/>
            <w:vAlign w:val="center"/>
          </w:tcPr>
          <w:p w:rsidR="00973510" w:rsidRPr="005157EC" w:rsidRDefault="003E6A90">
            <w:pPr>
              <w:spacing w:line="360" w:lineRule="auto"/>
              <w:jc w:val="both"/>
            </w:pP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5.  FARMAKOLOJİK ÖZELLİKLER</w:t>
            </w:r>
          </w:p>
        </w:tc>
      </w:tr>
    </w:tbl>
    <w:p w:rsidR="00937F7B" w:rsidRPr="005157EC" w:rsidRDefault="00937F7B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5.1. Farmakodinamik özellikler</w:t>
      </w:r>
    </w:p>
    <w:p w:rsidR="00937F7B" w:rsidRPr="005157EC" w:rsidRDefault="00580CD3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Farmakoterapötik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grup</w:t>
      </w:r>
      <w:r w:rsidR="00937F7B"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:</w:t>
      </w:r>
      <w:r w:rsidRPr="005157EC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 </w:t>
      </w:r>
      <w:proofErr w:type="spellStart"/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türevleri</w:t>
      </w:r>
    </w:p>
    <w:p w:rsidR="00973510" w:rsidRPr="005157EC" w:rsidRDefault="00580CD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ATC kodu: 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N05BA01 </w:t>
      </w:r>
    </w:p>
    <w:p w:rsidR="00EB2D1D" w:rsidRPr="005157EC" w:rsidRDefault="00BA5D1B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lastRenderedPageBreak/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santral sinir sisteminde spesifik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benzodiazepin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reseptörleriyle etkileşerek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GABA’nın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çeşitli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sinapslardaki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pre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ve post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sinaptik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inhibisyonunu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maksimize ederek etki ortaya koyar. 5-HT ve </w:t>
      </w:r>
      <w:proofErr w:type="spellStart"/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noradrenerjik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nöronlardaki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inhibisyonun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anksiyolitik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ve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sedatif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etkilerden sorumlu olabileceğini gösteren çeşitli çalışmalar mevcuttur.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Kortikal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benzodiazepin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reseptörlerinin ise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>antikonvülzan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etkilerden sorumlu olabileceği ileri sürülmektedir.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6B1245" w:rsidRPr="005157EC" w:rsidRDefault="006B124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tbl>
      <w:tblPr>
        <w:tblW w:w="0" w:type="auto"/>
        <w:tblLook w:val="01E0"/>
      </w:tblPr>
      <w:tblGrid>
        <w:gridCol w:w="9548"/>
      </w:tblGrid>
      <w:tr w:rsidR="003E6A90" w:rsidRPr="005157EC" w:rsidTr="00825E11">
        <w:trPr>
          <w:trHeight w:val="561"/>
        </w:trPr>
        <w:tc>
          <w:tcPr>
            <w:tcW w:w="9548" w:type="dxa"/>
            <w:vAlign w:val="center"/>
          </w:tcPr>
          <w:p w:rsidR="00973510" w:rsidRPr="005157EC" w:rsidRDefault="003E6A90">
            <w:pPr>
              <w:spacing w:line="360" w:lineRule="auto"/>
              <w:jc w:val="both"/>
            </w:pP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5.2</w:t>
            </w:r>
            <w:r w:rsidR="004F40B9"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.</w:t>
            </w: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Farmakokinetik</w:t>
            </w:r>
            <w:proofErr w:type="spellEnd"/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 xml:space="preserve"> </w:t>
            </w:r>
            <w:r w:rsidR="004F40B9"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ö</w:t>
            </w:r>
            <w:r w:rsidRPr="005157EC">
              <w:rPr>
                <w:rFonts w:ascii="Times New Roman" w:hAnsi="Times New Roman"/>
                <w:b/>
                <w:spacing w:val="0"/>
                <w:position w:val="0"/>
                <w:sz w:val="24"/>
                <w:szCs w:val="24"/>
                <w:lang w:val="tr-TR"/>
              </w:rPr>
              <w:t>zellikler</w:t>
            </w:r>
          </w:p>
        </w:tc>
      </w:tr>
    </w:tbl>
    <w:p w:rsidR="00937F7B" w:rsidRPr="005157EC" w:rsidRDefault="00937F7B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Genel </w:t>
      </w: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özellikler</w:t>
      </w:r>
    </w:p>
    <w:p w:rsidR="00937F7B" w:rsidRPr="005157EC" w:rsidRDefault="00937F7B" w:rsidP="00953661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Emilim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büyük bölümü (&gt;%90) oral uygulamanın ardından emilmektedir.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or</w:t>
      </w:r>
      <w:r w:rsidR="001934D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 derece yağlı yemeklerle birlikte uygulandığında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emilim azalmakta veya gecikmektedir.</w:t>
      </w:r>
    </w:p>
    <w:p w:rsidR="00937F7B" w:rsidRPr="005157EC" w:rsidRDefault="00937F7B" w:rsidP="00953661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Da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l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m: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proteinlerine yüksek oranda bağlanmaktadır. Ayrıca, kan-beyin ve plasenta bariyerini geçerler.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anne sütünde yaklaşık olarak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maternal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plazmanın </w:t>
      </w:r>
      <w:proofErr w:type="gram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1:10</w:t>
      </w:r>
      <w:proofErr w:type="gram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konsantrasyonu kadar bulunur. (doğum sonrası 3-9 günlerde). İlacın konsantrasyon zaman eğrisi profilindeki sapma oral uygulama sonrasında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bifaziktir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</w:p>
    <w:p w:rsidR="00937F7B" w:rsidRPr="005157EC" w:rsidRDefault="00937F7B" w:rsidP="00953661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Biyotransformasyon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: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karaciğerde</w:t>
      </w:r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biyotransformasyona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uğrayarak N-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desmetil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diazepam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,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temazepam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ve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oksazepam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gibi aktif </w:t>
      </w:r>
      <w:proofErr w:type="spellStart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metabolitlere</w:t>
      </w:r>
      <w:proofErr w:type="spellEnd"/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dönüşür.</w:t>
      </w:r>
    </w:p>
    <w:p w:rsidR="00973510" w:rsidRPr="005157EC" w:rsidRDefault="00937F7B">
      <w:pPr>
        <w:spacing w:line="360" w:lineRule="auto"/>
        <w:jc w:val="both"/>
        <w:rPr>
          <w:rFonts w:ascii="Times New Roman" w:hAnsi="Times New Roman"/>
          <w:sz w:val="24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Eliminasyon: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 yarı ömrü oldukça uzundur.</w:t>
      </w:r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Diazepamın</w:t>
      </w:r>
      <w:proofErr w:type="spellEnd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eliminasyon yarı ömrü 20-70 saat, N-</w:t>
      </w:r>
      <w:proofErr w:type="spellStart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desmetil</w:t>
      </w:r>
      <w:proofErr w:type="spellEnd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diazepamın</w:t>
      </w:r>
      <w:proofErr w:type="spellEnd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30-200 saat, </w:t>
      </w:r>
      <w:proofErr w:type="spellStart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temazepamın</w:t>
      </w:r>
      <w:proofErr w:type="spellEnd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10-20 saat ve </w:t>
      </w:r>
      <w:proofErr w:type="spellStart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oksazepamın</w:t>
      </w:r>
      <w:proofErr w:type="spellEnd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5-15 saat olduğu düşünülürse ilacın kronik kullanımında kısa sürede </w:t>
      </w:r>
      <w:proofErr w:type="gramStart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kümülasyona</w:t>
      </w:r>
      <w:proofErr w:type="gramEnd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uğrayacağı </w:t>
      </w:r>
      <w:proofErr w:type="spellStart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gözönüne</w:t>
      </w:r>
      <w:proofErr w:type="spellEnd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alınmalıdır. Artık etki bırakabileceğinden iyi bir </w:t>
      </w:r>
      <w:proofErr w:type="spellStart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>hipnotik</w:t>
      </w:r>
      <w:proofErr w:type="spellEnd"/>
      <w:r w:rsidR="00BA5D1B"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 sayılmaz.</w:t>
      </w:r>
      <w:r w:rsidR="001934D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Serbest ya da </w:t>
      </w:r>
      <w:proofErr w:type="spellStart"/>
      <w:r w:rsidR="001934D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konjuge</w:t>
      </w:r>
      <w:proofErr w:type="spellEnd"/>
      <w:r w:rsidR="001934D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formda, temel </w:t>
      </w:r>
      <w:proofErr w:type="spellStart"/>
      <w:r w:rsidR="001934D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="001934D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şeklinde idrarla atılır.</w:t>
      </w:r>
    </w:p>
    <w:p w:rsidR="00FA7A02" w:rsidRPr="005157EC" w:rsidRDefault="00FA7A02" w:rsidP="00FA7A02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Do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rusall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k/do</w:t>
      </w:r>
      <w:r w:rsidRPr="005157EC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 olmayan durum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 Veri bulunmamaktadır.</w:t>
      </w:r>
    </w:p>
    <w:p w:rsidR="006B1245" w:rsidRPr="005157EC" w:rsidRDefault="006B1245" w:rsidP="006B1245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1A6148" w:rsidRPr="005157EC" w:rsidRDefault="00466DEE" w:rsidP="00953661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5.3. Klinik öncesi güvenlilik verileri</w:t>
      </w:r>
    </w:p>
    <w:p w:rsidR="00973510" w:rsidRPr="005157EC" w:rsidRDefault="002F1A62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10 mg/2ml İ.M./İ.V. Ampul</w:t>
      </w:r>
      <w:r w:rsidR="00AE13E2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’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ün</w:t>
      </w:r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içerdiği</w:t>
      </w:r>
      <w:r w:rsidR="00AE13E2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etkin madde(</w:t>
      </w:r>
      <w:proofErr w:type="spellStart"/>
      <w:r w:rsidR="00AE13E2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ler</w:t>
      </w:r>
      <w:proofErr w:type="spellEnd"/>
      <w:r w:rsidR="00AE13E2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 olan </w:t>
      </w:r>
      <w:proofErr w:type="spellStart"/>
      <w:r w:rsidR="00AE13E2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Türkiye ve Dünya’nın çeşitli ülkelerinde yıllardır kullanılmakta olup, hakkındaki tüm bilgiler standart </w:t>
      </w:r>
      <w:proofErr w:type="spellStart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monografların</w:t>
      </w:r>
      <w:proofErr w:type="spellEnd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vademekum</w:t>
      </w:r>
      <w:proofErr w:type="spellEnd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bilgilerinin yer aldığı kitaplarda yer almaktadır. Kullanımları ile görülebilecek olumsuz etkiler ilgili bölümlerde </w:t>
      </w:r>
      <w:proofErr w:type="spellStart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yeralmaktadır</w:t>
      </w:r>
      <w:proofErr w:type="spellEnd"/>
      <w:r w:rsidR="003E6A9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580CD3" w:rsidRPr="005157EC">
        <w:rPr>
          <w:rFonts w:ascii="Times New Roman" w:hAnsi="Times New Roman"/>
          <w:spacing w:val="0"/>
          <w:position w:val="0"/>
          <w:sz w:val="24"/>
          <w:lang w:val="tr-TR"/>
        </w:rPr>
        <w:t>(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bkz. </w:t>
      </w:r>
      <w:proofErr w:type="gramStart"/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4.4</w:t>
      </w:r>
      <w:proofErr w:type="gramEnd"/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Özel kullanım uyarıları ve önlemleri, 4.5. Diğer tıbbi ürünler ile etkileşimler ve diğer etkileşim şekilleri, 4.8. İstenmeyen etkiler, 4.9. Doz aşımı ve tedavisi).</w:t>
      </w:r>
      <w:r w:rsidR="001A6148"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</w:p>
    <w:p w:rsidR="00DA5601" w:rsidRPr="005157EC" w:rsidRDefault="00DA5601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</w:p>
    <w:p w:rsidR="006B1245" w:rsidRPr="005157EC" w:rsidRDefault="006B1245" w:rsidP="00953661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6B1245" w:rsidRPr="005157EC" w:rsidRDefault="006B1245" w:rsidP="00953661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1A6148" w:rsidRPr="005157EC" w:rsidRDefault="001A6148" w:rsidP="00953661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6. FARMASÖTİK ÖZELLİKLER</w:t>
      </w:r>
    </w:p>
    <w:p w:rsidR="00937F7B" w:rsidRPr="005157EC" w:rsidRDefault="001A6148" w:rsidP="00953661">
      <w:pPr>
        <w:pStyle w:val="GvdeMetniGirintisi"/>
        <w:spacing w:after="0"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6.1.Yardımcı maddelerin listesi</w:t>
      </w:r>
    </w:p>
    <w:p w:rsidR="00973510" w:rsidRPr="005157EC" w:rsidRDefault="00856E89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Propilen</w:t>
      </w:r>
      <w:proofErr w:type="spell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glikol</w:t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</w:p>
    <w:p w:rsidR="00973510" w:rsidRPr="005157EC" w:rsidRDefault="00856E89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Etil alkol</w:t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</w:p>
    <w:p w:rsidR="00973510" w:rsidRPr="005157EC" w:rsidRDefault="00856E89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Sodyum </w:t>
      </w:r>
      <w:proofErr w:type="spell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benzoat</w:t>
      </w:r>
      <w:proofErr w:type="spell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</w:p>
    <w:p w:rsidR="00973510" w:rsidRPr="005157EC" w:rsidRDefault="00856E89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Benzoik</w:t>
      </w:r>
      <w:proofErr w:type="spell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asit</w:t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</w:p>
    <w:p w:rsidR="00973510" w:rsidRPr="005157EC" w:rsidRDefault="00856E89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Benzil</w:t>
      </w:r>
      <w:proofErr w:type="spellEnd"/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 xml:space="preserve"> alkol      </w:t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</w:p>
    <w:p w:rsidR="005B3808" w:rsidRPr="005157EC" w:rsidRDefault="005B3808" w:rsidP="00953661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Hidroklorik asit</w:t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</w:p>
    <w:p w:rsidR="00EF5E6E" w:rsidRPr="005157EC" w:rsidRDefault="001A6148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Enjeksiyonluk su (y.m)</w:t>
      </w:r>
      <w:r w:rsidR="00EF5E6E"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</w:p>
    <w:p w:rsidR="005742D3" w:rsidRPr="005157EC" w:rsidRDefault="00EF5E6E" w:rsidP="00953661">
      <w:pPr>
        <w:spacing w:line="360" w:lineRule="auto"/>
        <w:jc w:val="both"/>
        <w:rPr>
          <w:rFonts w:ascii="Times New Roman" w:hAnsi="Times New Roman"/>
          <w:b/>
          <w:spacing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</w:t>
      </w:r>
      <w:r w:rsidR="00580CD3" w:rsidRPr="005157EC">
        <w:rPr>
          <w:rFonts w:ascii="Times New Roman" w:hAnsi="Times New Roman"/>
          <w:b/>
          <w:spacing w:val="0"/>
          <w:position w:val="0"/>
          <w:sz w:val="24"/>
          <w:lang w:val="tr-TR"/>
        </w:rPr>
        <w:t>2.</w:t>
      </w: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Geçimsizlikler</w:t>
      </w:r>
      <w:r w:rsidR="00856E89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5742D3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5742D3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5742D3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  <w:r w:rsidR="005742D3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  <w:t xml:space="preserve">  </w:t>
      </w:r>
      <w:r w:rsidR="0002579F" w:rsidRPr="005157EC">
        <w:rPr>
          <w:rFonts w:ascii="Times New Roman" w:hAnsi="Times New Roman"/>
          <w:spacing w:val="0"/>
          <w:sz w:val="24"/>
          <w:szCs w:val="24"/>
          <w:lang w:val="tr-TR"/>
        </w:rPr>
        <w:tab/>
      </w:r>
    </w:p>
    <w:p w:rsidR="00DA5601" w:rsidRPr="005157EC" w:rsidRDefault="00DA5601" w:rsidP="00953661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sz w:val="24"/>
          <w:szCs w:val="24"/>
          <w:lang w:val="tr-TR"/>
        </w:rPr>
        <w:t>Bulunmamaktadır</w:t>
      </w:r>
      <w:r w:rsidR="00F65980" w:rsidRPr="005157EC">
        <w:rPr>
          <w:rFonts w:ascii="Times New Roman" w:hAnsi="Times New Roman"/>
          <w:spacing w:val="0"/>
          <w:sz w:val="24"/>
          <w:szCs w:val="24"/>
          <w:lang w:val="tr-TR"/>
        </w:rPr>
        <w:t>.</w:t>
      </w:r>
    </w:p>
    <w:p w:rsidR="002449E8" w:rsidRPr="005157EC" w:rsidRDefault="00EF5E6E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6.3. Raf ömrü</w:t>
      </w:r>
    </w:p>
    <w:p w:rsidR="00DA5601" w:rsidRPr="005157EC" w:rsidRDefault="00580CD3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lang w:val="tr-TR"/>
        </w:rPr>
        <w:t xml:space="preserve">48 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</w:t>
      </w:r>
      <w:r w:rsidR="002449E8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</w:t>
      </w:r>
    </w:p>
    <w:p w:rsidR="00B50F49" w:rsidRPr="005157EC" w:rsidRDefault="00EF5E6E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6.4. Saklamaya yönelik özel tedbirler</w:t>
      </w:r>
    </w:p>
    <w:p w:rsidR="00DA5601" w:rsidRPr="005157EC" w:rsidRDefault="002449E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25</w:t>
      </w:r>
      <w:r w:rsidR="00F6598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°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C’nin altında</w:t>
      </w:r>
      <w:r w:rsidR="003E6A8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ki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oda sıcakl</w:t>
      </w:r>
      <w:r w:rsidR="003E6A8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ı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ğında</w:t>
      </w:r>
      <w:r w:rsidR="00EE656D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</w:t>
      </w:r>
      <w:r w:rsidR="003E6A8C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ışıktan koruyarak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saklayınız. </w:t>
      </w:r>
    </w:p>
    <w:p w:rsidR="002449E8" w:rsidRPr="005157EC" w:rsidRDefault="00EF5E6E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6.5.  Ambalajın niteliği ve içeriği</w:t>
      </w:r>
    </w:p>
    <w:p w:rsidR="00973510" w:rsidRPr="005157EC" w:rsidRDefault="00856E89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Tip I camdan (dayanma gücü yüksek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borosilikat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cam) yapılmış, halkalı 2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ml’lik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amber renkli ampuller </w:t>
      </w:r>
    </w:p>
    <w:p w:rsidR="00973510" w:rsidRPr="005157EC" w:rsidRDefault="00856E89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bir karton kutu; 10</w:t>
      </w:r>
      <w:r w:rsidR="00F0768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100 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adet 2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ml’lik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ampul içermektedir.</w:t>
      </w:r>
    </w:p>
    <w:p w:rsidR="00DA5601" w:rsidRPr="005157EC" w:rsidRDefault="00DA560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73510" w:rsidRPr="005157EC" w:rsidRDefault="009F5490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6.6</w:t>
      </w:r>
      <w:r w:rsidR="004F40B9"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.</w:t>
      </w: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Beşeri tıbbi üründen arta kalan maddelerin imhası ve diğer özel önlemler</w:t>
      </w:r>
    </w:p>
    <w:p w:rsidR="00EF5E6E" w:rsidRPr="005157EC" w:rsidRDefault="009F5490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Kullanılmamış olan ürünler ya da atık materyaller “Tıbbi Atıkların Kontrolü Yönetmeliği” ve Ambalaj ve Ambalaj Atıklarının Kontrolü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Yönetmelik”lerine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uygun olarak imha edilmelidir.</w:t>
      </w:r>
    </w:p>
    <w:p w:rsidR="00DA5601" w:rsidRPr="005157EC" w:rsidRDefault="00DA5601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F5490" w:rsidRPr="005157EC" w:rsidRDefault="00EF5E6E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7. RUHSAT SAHİBİ</w:t>
      </w:r>
    </w:p>
    <w:p w:rsidR="009F5490" w:rsidRPr="005157EC" w:rsidRDefault="009F5490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DEVA H</w:t>
      </w:r>
      <w:r w:rsidR="00DA5601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olding 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A.Ş.  </w:t>
      </w:r>
    </w:p>
    <w:p w:rsidR="009F5490" w:rsidRPr="005157EC" w:rsidRDefault="009F5490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Halkalı Merkez Mah.</w:t>
      </w:r>
      <w:r w:rsidR="00282C40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Basın Ekspres Cad.</w:t>
      </w:r>
    </w:p>
    <w:p w:rsidR="009F5490" w:rsidRPr="005157EC" w:rsidRDefault="009F5490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No: 1 34303</w:t>
      </w:r>
      <w:r w:rsidR="00937F7B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Küçükçekmece - İstanbul</w:t>
      </w:r>
    </w:p>
    <w:p w:rsidR="009F5490" w:rsidRPr="005157EC" w:rsidRDefault="009F5490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Tel: 0 212 692 92 </w:t>
      </w: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92</w:t>
      </w:r>
      <w:proofErr w:type="spellEnd"/>
    </w:p>
    <w:p w:rsidR="009F5490" w:rsidRPr="005157EC" w:rsidRDefault="009F5490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Fax</w:t>
      </w:r>
      <w:proofErr w:type="spellEnd"/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 0 212 697 00 24</w:t>
      </w:r>
    </w:p>
    <w:p w:rsidR="00DA5601" w:rsidRPr="005157EC" w:rsidRDefault="00DA5601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3E6A90" w:rsidRPr="005157EC" w:rsidRDefault="00EF5E6E" w:rsidP="00953661">
      <w:pPr>
        <w:spacing w:line="360" w:lineRule="auto"/>
        <w:jc w:val="both"/>
        <w:rPr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8. RUHSAT NUMARASI</w:t>
      </w:r>
    </w:p>
    <w:p w:rsidR="00973510" w:rsidRPr="005157EC" w:rsidRDefault="009571BB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113/27</w:t>
      </w:r>
    </w:p>
    <w:p w:rsidR="00DA5601" w:rsidRPr="005157EC" w:rsidRDefault="00DA560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6B1245" w:rsidRPr="005157EC" w:rsidRDefault="006B1245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EF5E6E" w:rsidRPr="005157EC" w:rsidRDefault="00EF5E6E" w:rsidP="00953661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9. İLK RUHSAT TARİHİ/RUHSAT YENİLEME TARİHİ</w:t>
      </w:r>
    </w:p>
    <w:p w:rsidR="00937F7B" w:rsidRPr="005157EC" w:rsidRDefault="00937F7B" w:rsidP="0095366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İlk ruhsat tarihi: 06.11.1972</w:t>
      </w:r>
    </w:p>
    <w:p w:rsidR="00973510" w:rsidRPr="005157EC" w:rsidRDefault="00937F7B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Ruhsat yenileme tarihi: </w:t>
      </w:r>
      <w:r w:rsidR="00AF5722" w:rsidRPr="005157EC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03.10.2011</w:t>
      </w:r>
    </w:p>
    <w:p w:rsidR="009F3776" w:rsidRPr="005157EC" w:rsidRDefault="009F3776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D67B9D" w:rsidRPr="005157EC" w:rsidRDefault="00EF5E6E">
      <w:pPr>
        <w:spacing w:line="360" w:lineRule="auto"/>
        <w:jc w:val="both"/>
        <w:rPr>
          <w:lang w:val="tr-TR"/>
        </w:rPr>
      </w:pPr>
      <w:r w:rsidRPr="005157EC">
        <w:rPr>
          <w:rFonts w:ascii="Times New Roman" w:hAnsi="Times New Roman"/>
          <w:b/>
          <w:bCs/>
          <w:sz w:val="24"/>
          <w:lang w:val="tr-TR"/>
        </w:rPr>
        <w:t xml:space="preserve">10. </w:t>
      </w:r>
      <w:r w:rsidRPr="005157EC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KÜB’ÜN YENİLENME TARİHİ</w:t>
      </w:r>
    </w:p>
    <w:sectPr w:rsidR="00D67B9D" w:rsidRPr="005157EC" w:rsidSect="001A6148">
      <w:footerReference w:type="default" r:id="rId8"/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1F" w:rsidRDefault="00866D1F">
      <w:r>
        <w:separator/>
      </w:r>
    </w:p>
  </w:endnote>
  <w:endnote w:type="continuationSeparator" w:id="0">
    <w:p w:rsidR="00866D1F" w:rsidRDefault="0086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HAnsi" w:hAnsi="Times New Roman"/>
        <w:spacing w:val="0"/>
        <w:kern w:val="0"/>
        <w:position w:val="0"/>
        <w:szCs w:val="22"/>
        <w:lang w:val="tr-TR" w:eastAsia="en-US"/>
      </w:rPr>
      <w:id w:val="1387318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Theme="minorHAnsi" w:hAnsi="Times New Roman"/>
            <w:spacing w:val="0"/>
            <w:kern w:val="0"/>
            <w:position w:val="0"/>
            <w:szCs w:val="22"/>
            <w:lang w:val="tr-TR" w:eastAsia="en-US"/>
          </w:rPr>
          <w:id w:val="861459903"/>
          <w:docPartObj>
            <w:docPartGallery w:val="Page Numbers (Top of Page)"/>
            <w:docPartUnique/>
          </w:docPartObj>
        </w:sdtPr>
        <w:sdtContent>
          <w:p w:rsidR="00866D1F" w:rsidRPr="000E77CA" w:rsidRDefault="00866D1F" w:rsidP="000E77CA">
            <w:pPr>
              <w:pStyle w:val="Altbilgi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</w:pPr>
            <w:r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t xml:space="preserve">Sayfa </w:t>
            </w:r>
            <w:r w:rsidR="00B52949"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fldChar w:fldCharType="begin"/>
            </w:r>
            <w:r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instrText>PAGE</w:instrText>
            </w:r>
            <w:r w:rsidR="00B52949"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fldChar w:fldCharType="separate"/>
            </w:r>
            <w:r w:rsidR="005157EC">
              <w:rPr>
                <w:rFonts w:ascii="Times New Roman" w:eastAsiaTheme="minorHAnsi" w:hAnsi="Times New Roman"/>
                <w:noProof/>
                <w:spacing w:val="0"/>
                <w:kern w:val="0"/>
                <w:position w:val="0"/>
                <w:szCs w:val="22"/>
                <w:lang w:val="tr-TR" w:eastAsia="en-US"/>
              </w:rPr>
              <w:t>1</w:t>
            </w:r>
            <w:r w:rsidR="00B52949"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fldChar w:fldCharType="end"/>
            </w:r>
            <w:r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t xml:space="preserve"> </w:t>
            </w:r>
            <w:r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t>/</w:t>
            </w:r>
            <w:r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t xml:space="preserve"> </w:t>
            </w:r>
            <w:r w:rsidR="00B52949"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fldChar w:fldCharType="begin"/>
            </w:r>
            <w:r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instrText>NUMPAGES</w:instrText>
            </w:r>
            <w:r w:rsidR="00B52949"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fldChar w:fldCharType="separate"/>
            </w:r>
            <w:r w:rsidR="005157EC">
              <w:rPr>
                <w:rFonts w:ascii="Times New Roman" w:eastAsiaTheme="minorHAnsi" w:hAnsi="Times New Roman"/>
                <w:noProof/>
                <w:spacing w:val="0"/>
                <w:kern w:val="0"/>
                <w:position w:val="0"/>
                <w:szCs w:val="22"/>
                <w:lang w:val="tr-TR" w:eastAsia="en-US"/>
              </w:rPr>
              <w:t>10</w:t>
            </w:r>
            <w:r w:rsidR="00B52949" w:rsidRPr="000E77CA">
              <w:rPr>
                <w:rFonts w:ascii="Times New Roman" w:eastAsiaTheme="minorHAnsi" w:hAnsi="Times New Roman"/>
                <w:spacing w:val="0"/>
                <w:kern w:val="0"/>
                <w:position w:val="0"/>
                <w:szCs w:val="22"/>
                <w:lang w:val="tr-TR"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1F" w:rsidRDefault="00866D1F">
      <w:r>
        <w:separator/>
      </w:r>
    </w:p>
  </w:footnote>
  <w:footnote w:type="continuationSeparator" w:id="0">
    <w:p w:rsidR="00866D1F" w:rsidRDefault="00866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D3F"/>
    <w:multiLevelType w:val="hybridMultilevel"/>
    <w:tmpl w:val="647697E0"/>
    <w:lvl w:ilvl="0" w:tplc="F07A3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1E23"/>
    <w:multiLevelType w:val="hybridMultilevel"/>
    <w:tmpl w:val="9F1C8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7360"/>
    <w:multiLevelType w:val="hybridMultilevel"/>
    <w:tmpl w:val="70A62E8E"/>
    <w:lvl w:ilvl="0" w:tplc="FB408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10E1"/>
    <w:multiLevelType w:val="hybridMultilevel"/>
    <w:tmpl w:val="BBA2A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871B1"/>
    <w:multiLevelType w:val="hybridMultilevel"/>
    <w:tmpl w:val="493E3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5F1E"/>
    <w:multiLevelType w:val="hybridMultilevel"/>
    <w:tmpl w:val="9A285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B2768"/>
    <w:rsid w:val="00007A15"/>
    <w:rsid w:val="0001259C"/>
    <w:rsid w:val="000246EB"/>
    <w:rsid w:val="0002579F"/>
    <w:rsid w:val="00034835"/>
    <w:rsid w:val="00041058"/>
    <w:rsid w:val="000456A1"/>
    <w:rsid w:val="00064F0F"/>
    <w:rsid w:val="00071081"/>
    <w:rsid w:val="000838C7"/>
    <w:rsid w:val="000B2A02"/>
    <w:rsid w:val="000E77CA"/>
    <w:rsid w:val="00111577"/>
    <w:rsid w:val="00165885"/>
    <w:rsid w:val="001835C0"/>
    <w:rsid w:val="001934DD"/>
    <w:rsid w:val="001A6148"/>
    <w:rsid w:val="001B0271"/>
    <w:rsid w:val="001B6031"/>
    <w:rsid w:val="001D4D87"/>
    <w:rsid w:val="001F0F67"/>
    <w:rsid w:val="001F53A7"/>
    <w:rsid w:val="001F6A0C"/>
    <w:rsid w:val="002449E8"/>
    <w:rsid w:val="00251458"/>
    <w:rsid w:val="002732AC"/>
    <w:rsid w:val="00282C40"/>
    <w:rsid w:val="002A0C6C"/>
    <w:rsid w:val="002D6DED"/>
    <w:rsid w:val="002E03D0"/>
    <w:rsid w:val="002E2E00"/>
    <w:rsid w:val="002F1A62"/>
    <w:rsid w:val="003A1369"/>
    <w:rsid w:val="003B2768"/>
    <w:rsid w:val="003C7E0D"/>
    <w:rsid w:val="003E6A8C"/>
    <w:rsid w:val="003E6A90"/>
    <w:rsid w:val="003E7A27"/>
    <w:rsid w:val="0040596E"/>
    <w:rsid w:val="00417B4A"/>
    <w:rsid w:val="00421B38"/>
    <w:rsid w:val="004226D9"/>
    <w:rsid w:val="0044125C"/>
    <w:rsid w:val="00452CA9"/>
    <w:rsid w:val="004539CC"/>
    <w:rsid w:val="004577CB"/>
    <w:rsid w:val="00466DEE"/>
    <w:rsid w:val="004962EC"/>
    <w:rsid w:val="004B1469"/>
    <w:rsid w:val="004C5964"/>
    <w:rsid w:val="004F40B9"/>
    <w:rsid w:val="0051529C"/>
    <w:rsid w:val="005157EC"/>
    <w:rsid w:val="00541A58"/>
    <w:rsid w:val="005742D3"/>
    <w:rsid w:val="00580CD3"/>
    <w:rsid w:val="00582340"/>
    <w:rsid w:val="00593D06"/>
    <w:rsid w:val="005A0C8A"/>
    <w:rsid w:val="005B3808"/>
    <w:rsid w:val="005F7A87"/>
    <w:rsid w:val="006224A9"/>
    <w:rsid w:val="00656745"/>
    <w:rsid w:val="0066666B"/>
    <w:rsid w:val="00667298"/>
    <w:rsid w:val="00695602"/>
    <w:rsid w:val="006B1245"/>
    <w:rsid w:val="006E232A"/>
    <w:rsid w:val="006E29E2"/>
    <w:rsid w:val="006F73B3"/>
    <w:rsid w:val="007611F7"/>
    <w:rsid w:val="007862A4"/>
    <w:rsid w:val="007960E8"/>
    <w:rsid w:val="007A3B14"/>
    <w:rsid w:val="007D0C9D"/>
    <w:rsid w:val="007E19CF"/>
    <w:rsid w:val="007F563B"/>
    <w:rsid w:val="00812C86"/>
    <w:rsid w:val="008134C5"/>
    <w:rsid w:val="00825E11"/>
    <w:rsid w:val="00837538"/>
    <w:rsid w:val="0085667E"/>
    <w:rsid w:val="00856E89"/>
    <w:rsid w:val="00866D1F"/>
    <w:rsid w:val="008A1F35"/>
    <w:rsid w:val="008B0173"/>
    <w:rsid w:val="008B788A"/>
    <w:rsid w:val="008C532D"/>
    <w:rsid w:val="008F08FB"/>
    <w:rsid w:val="00937F7B"/>
    <w:rsid w:val="00953661"/>
    <w:rsid w:val="00954858"/>
    <w:rsid w:val="009571BB"/>
    <w:rsid w:val="00961617"/>
    <w:rsid w:val="00970DE9"/>
    <w:rsid w:val="00973510"/>
    <w:rsid w:val="00996708"/>
    <w:rsid w:val="009A50C9"/>
    <w:rsid w:val="009F2624"/>
    <w:rsid w:val="009F3240"/>
    <w:rsid w:val="009F3776"/>
    <w:rsid w:val="009F5490"/>
    <w:rsid w:val="00A145EC"/>
    <w:rsid w:val="00A53948"/>
    <w:rsid w:val="00A62FBA"/>
    <w:rsid w:val="00A80BDC"/>
    <w:rsid w:val="00A81059"/>
    <w:rsid w:val="00AC05FB"/>
    <w:rsid w:val="00AE13E2"/>
    <w:rsid w:val="00AE3943"/>
    <w:rsid w:val="00AF5722"/>
    <w:rsid w:val="00B005C1"/>
    <w:rsid w:val="00B03FAA"/>
    <w:rsid w:val="00B11A9D"/>
    <w:rsid w:val="00B22374"/>
    <w:rsid w:val="00B2277B"/>
    <w:rsid w:val="00B4425F"/>
    <w:rsid w:val="00B4718D"/>
    <w:rsid w:val="00B50F49"/>
    <w:rsid w:val="00B52949"/>
    <w:rsid w:val="00B54176"/>
    <w:rsid w:val="00B73D4C"/>
    <w:rsid w:val="00B74DB5"/>
    <w:rsid w:val="00B83C26"/>
    <w:rsid w:val="00BA5D1B"/>
    <w:rsid w:val="00BC471D"/>
    <w:rsid w:val="00BC5F4B"/>
    <w:rsid w:val="00BE42A7"/>
    <w:rsid w:val="00BF14E2"/>
    <w:rsid w:val="00BF797D"/>
    <w:rsid w:val="00C16C61"/>
    <w:rsid w:val="00C20892"/>
    <w:rsid w:val="00C209B1"/>
    <w:rsid w:val="00C47E39"/>
    <w:rsid w:val="00C538A5"/>
    <w:rsid w:val="00C87E47"/>
    <w:rsid w:val="00C95163"/>
    <w:rsid w:val="00CA63FF"/>
    <w:rsid w:val="00D152CA"/>
    <w:rsid w:val="00D26964"/>
    <w:rsid w:val="00D40321"/>
    <w:rsid w:val="00D67B9D"/>
    <w:rsid w:val="00D77BDD"/>
    <w:rsid w:val="00DA5601"/>
    <w:rsid w:val="00DB3E76"/>
    <w:rsid w:val="00DC0395"/>
    <w:rsid w:val="00DC6A89"/>
    <w:rsid w:val="00DE6C2F"/>
    <w:rsid w:val="00DF071C"/>
    <w:rsid w:val="00DF07DC"/>
    <w:rsid w:val="00E44BB2"/>
    <w:rsid w:val="00E640E5"/>
    <w:rsid w:val="00E802A8"/>
    <w:rsid w:val="00E87FA5"/>
    <w:rsid w:val="00EB1DE1"/>
    <w:rsid w:val="00EB2D1D"/>
    <w:rsid w:val="00EC6A3C"/>
    <w:rsid w:val="00EE656D"/>
    <w:rsid w:val="00EF1F2E"/>
    <w:rsid w:val="00EF5E6E"/>
    <w:rsid w:val="00F01AFE"/>
    <w:rsid w:val="00F0414D"/>
    <w:rsid w:val="00F07680"/>
    <w:rsid w:val="00F4623E"/>
    <w:rsid w:val="00F46AAA"/>
    <w:rsid w:val="00F55168"/>
    <w:rsid w:val="00F6081D"/>
    <w:rsid w:val="00F657F4"/>
    <w:rsid w:val="00F65980"/>
    <w:rsid w:val="00FA7A02"/>
    <w:rsid w:val="00FB0FC7"/>
    <w:rsid w:val="00FC16FD"/>
    <w:rsid w:val="00FC449E"/>
    <w:rsid w:val="00FE3B5B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9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kern w:val="32"/>
      <w:position w:val="2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449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449E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E42A7"/>
  </w:style>
  <w:style w:type="paragraph" w:styleId="BalonMetni">
    <w:name w:val="Balloon Text"/>
    <w:basedOn w:val="Normal"/>
    <w:semiHidden/>
    <w:rsid w:val="007D0C9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3E6A90"/>
    <w:pPr>
      <w:overflowPunct/>
      <w:autoSpaceDE/>
      <w:autoSpaceDN/>
      <w:adjustRightInd/>
      <w:jc w:val="both"/>
      <w:textAlignment w:val="auto"/>
    </w:pPr>
    <w:rPr>
      <w:spacing w:val="0"/>
      <w:kern w:val="0"/>
      <w:position w:val="0"/>
      <w:lang w:val="tr-TR"/>
    </w:rPr>
  </w:style>
  <w:style w:type="paragraph" w:styleId="GvdeMetniGirintisi">
    <w:name w:val="Body Text Indent"/>
    <w:basedOn w:val="Normal"/>
    <w:link w:val="GvdeMetniGirintisiChar"/>
    <w:rsid w:val="00937F7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37F7B"/>
    <w:rPr>
      <w:rFonts w:ascii="Arial" w:hAnsi="Arial"/>
      <w:spacing w:val="20"/>
      <w:kern w:val="32"/>
      <w:position w:val="2"/>
      <w:sz w:val="22"/>
      <w:lang w:val="en-GB"/>
    </w:rPr>
  </w:style>
  <w:style w:type="paragraph" w:styleId="ListeParagraf">
    <w:name w:val="List Paragraph"/>
    <w:basedOn w:val="Normal"/>
    <w:uiPriority w:val="34"/>
    <w:qFormat/>
    <w:rsid w:val="00F01AFE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1F6A0C"/>
    <w:rPr>
      <w:rFonts w:ascii="Arial" w:hAnsi="Arial"/>
      <w:spacing w:val="20"/>
      <w:kern w:val="32"/>
      <w:position w:val="2"/>
      <w:sz w:val="22"/>
      <w:lang w:val="en-GB"/>
    </w:rPr>
  </w:style>
  <w:style w:type="character" w:customStyle="1" w:styleId="hps">
    <w:name w:val="hps"/>
    <w:basedOn w:val="VarsaylanParagrafYazTipi"/>
    <w:rsid w:val="00457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875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E29B-BE9F-4200-8030-03B0C0C5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1996</Words>
  <Characters>14245</Characters>
  <Application>Microsoft Office Word</Application>
  <DocSecurity>0</DocSecurity>
  <Lines>118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TIBBİ ÜRÜNÜN ADI</vt:lpstr>
    </vt:vector>
  </TitlesOfParts>
  <Company>Deva Holding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TIBBİ ÜRÜNÜN ADI</dc:title>
  <dc:subject/>
  <dc:creator>sterzi</dc:creator>
  <cp:keywords/>
  <dc:description/>
  <cp:lastModifiedBy>lyallak</cp:lastModifiedBy>
  <cp:revision>24</cp:revision>
  <cp:lastPrinted>2014-05-23T11:36:00Z</cp:lastPrinted>
  <dcterms:created xsi:type="dcterms:W3CDTF">2012-01-20T09:19:00Z</dcterms:created>
  <dcterms:modified xsi:type="dcterms:W3CDTF">2014-07-08T05:24:00Z</dcterms:modified>
</cp:coreProperties>
</file>