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8F" w:rsidRPr="00A4651C" w:rsidRDefault="00A63F8F" w:rsidP="0088131E">
      <w:pPr>
        <w:pStyle w:val="stbilgi"/>
        <w:tabs>
          <w:tab w:val="clear" w:pos="4536"/>
        </w:tabs>
        <w:spacing w:line="276" w:lineRule="auto"/>
        <w:jc w:val="center"/>
        <w:rPr>
          <w:b/>
          <w:lang w:val="tr-TR"/>
        </w:rPr>
      </w:pPr>
      <w:r w:rsidRPr="00A4651C">
        <w:rPr>
          <w:b/>
          <w:lang w:val="tr-TR"/>
        </w:rPr>
        <w:t>KISA ÜRÜN BİLGİSİ</w:t>
      </w:r>
    </w:p>
    <w:p w:rsidR="00D459A0" w:rsidRPr="00A4651C" w:rsidRDefault="00D459A0" w:rsidP="0088131E">
      <w:pPr>
        <w:pStyle w:val="stbilgi"/>
        <w:tabs>
          <w:tab w:val="clear" w:pos="4536"/>
        </w:tabs>
        <w:spacing w:line="276" w:lineRule="auto"/>
        <w:jc w:val="both"/>
        <w:rPr>
          <w:b/>
          <w:lang w:val="tr-TR"/>
        </w:rPr>
      </w:pPr>
    </w:p>
    <w:p w:rsidR="00242196" w:rsidRPr="00A4651C" w:rsidRDefault="00511D8D" w:rsidP="0088131E">
      <w:pPr>
        <w:pStyle w:val="stbilgi"/>
        <w:tabs>
          <w:tab w:val="clear" w:pos="4536"/>
        </w:tabs>
        <w:spacing w:line="276" w:lineRule="auto"/>
        <w:jc w:val="both"/>
        <w:rPr>
          <w:b/>
          <w:lang w:val="tr-TR"/>
        </w:rPr>
      </w:pPr>
      <w:r w:rsidRPr="00A4651C">
        <w:rPr>
          <w:b/>
          <w:lang w:val="tr-TR"/>
        </w:rPr>
        <w:t xml:space="preserve">1. </w:t>
      </w:r>
      <w:r w:rsidR="00242196" w:rsidRPr="00A4651C">
        <w:rPr>
          <w:b/>
          <w:lang w:val="tr-TR"/>
        </w:rPr>
        <w:t>BEŞERİ TIBBİ ÜRÜNÜN ADI</w:t>
      </w:r>
    </w:p>
    <w:p w:rsidR="00D459A0" w:rsidRPr="00A4651C" w:rsidRDefault="00FE15CE" w:rsidP="0088131E">
      <w:pPr>
        <w:pStyle w:val="stbilgi"/>
        <w:tabs>
          <w:tab w:val="clear" w:pos="4536"/>
        </w:tabs>
        <w:spacing w:line="276" w:lineRule="auto"/>
        <w:jc w:val="both"/>
        <w:rPr>
          <w:lang w:val="tr-TR"/>
        </w:rPr>
      </w:pPr>
      <w:r w:rsidRPr="00A4651C">
        <w:rPr>
          <w:lang w:val="tr-TR"/>
        </w:rPr>
        <w:t>APRALJİN FORTE</w:t>
      </w:r>
      <w:r w:rsidR="00DF0DB1" w:rsidRPr="00A4651C">
        <w:rPr>
          <w:lang w:val="tr-TR"/>
        </w:rPr>
        <w:t xml:space="preserve"> </w:t>
      </w:r>
      <w:r w:rsidR="00600B99" w:rsidRPr="00A4651C">
        <w:rPr>
          <w:lang w:val="tr-TR"/>
        </w:rPr>
        <w:t xml:space="preserve">550 mg </w:t>
      </w:r>
      <w:r w:rsidR="00DF0DB1" w:rsidRPr="00A4651C">
        <w:rPr>
          <w:lang w:val="tr-TR"/>
        </w:rPr>
        <w:t>f</w:t>
      </w:r>
      <w:r w:rsidR="006D46D9" w:rsidRPr="00A4651C">
        <w:rPr>
          <w:lang w:val="tr-TR"/>
        </w:rPr>
        <w:t xml:space="preserve">ilm </w:t>
      </w:r>
      <w:r w:rsidR="00DF0DB1" w:rsidRPr="00A4651C">
        <w:rPr>
          <w:lang w:val="tr-TR"/>
        </w:rPr>
        <w:t>t</w:t>
      </w:r>
      <w:r w:rsidR="006D46D9" w:rsidRPr="00A4651C">
        <w:rPr>
          <w:lang w:val="tr-TR"/>
        </w:rPr>
        <w:t xml:space="preserve">ablet </w:t>
      </w:r>
    </w:p>
    <w:p w:rsidR="00511D8D" w:rsidRPr="00A4651C" w:rsidRDefault="00511D8D" w:rsidP="0088131E">
      <w:pPr>
        <w:pStyle w:val="stbilgi"/>
        <w:tabs>
          <w:tab w:val="clear" w:pos="4536"/>
        </w:tabs>
        <w:spacing w:line="276" w:lineRule="auto"/>
        <w:jc w:val="both"/>
        <w:rPr>
          <w:lang w:val="tr-TR"/>
        </w:rPr>
      </w:pPr>
    </w:p>
    <w:p w:rsidR="00242196" w:rsidRPr="00A4651C" w:rsidRDefault="00511D8D" w:rsidP="0088131E">
      <w:pPr>
        <w:pStyle w:val="stbilgi"/>
        <w:tabs>
          <w:tab w:val="clear" w:pos="4536"/>
        </w:tabs>
        <w:spacing w:line="276" w:lineRule="auto"/>
        <w:jc w:val="both"/>
        <w:rPr>
          <w:b/>
          <w:lang w:val="tr-TR"/>
        </w:rPr>
      </w:pPr>
      <w:r w:rsidRPr="00A4651C">
        <w:rPr>
          <w:b/>
          <w:lang w:val="tr-TR"/>
        </w:rPr>
        <w:t xml:space="preserve">2. </w:t>
      </w:r>
      <w:r w:rsidR="00242196" w:rsidRPr="00A4651C">
        <w:rPr>
          <w:b/>
          <w:lang w:val="tr-TR"/>
        </w:rPr>
        <w:t>KALİTATİF VE KANTİTATİF BİLEŞİM</w:t>
      </w:r>
    </w:p>
    <w:p w:rsidR="00D73445" w:rsidRPr="00A4651C" w:rsidRDefault="00D73445" w:rsidP="0088131E">
      <w:pPr>
        <w:pStyle w:val="stbilgi"/>
        <w:tabs>
          <w:tab w:val="clear" w:pos="4536"/>
        </w:tabs>
        <w:spacing w:line="276" w:lineRule="auto"/>
        <w:jc w:val="both"/>
        <w:rPr>
          <w:b/>
          <w:lang w:val="tr-TR"/>
        </w:rPr>
      </w:pPr>
      <w:r w:rsidRPr="00A4651C">
        <w:rPr>
          <w:b/>
          <w:lang w:val="tr-TR"/>
        </w:rPr>
        <w:t>Etkin madde:</w:t>
      </w:r>
    </w:p>
    <w:p w:rsidR="00511D8D" w:rsidRPr="00A4651C" w:rsidRDefault="00561179" w:rsidP="002B6C2A">
      <w:pPr>
        <w:pStyle w:val="stbilgi"/>
        <w:tabs>
          <w:tab w:val="clear" w:pos="4536"/>
          <w:tab w:val="right" w:leader="dot" w:pos="3402"/>
        </w:tabs>
        <w:spacing w:line="276" w:lineRule="auto"/>
        <w:jc w:val="both"/>
        <w:rPr>
          <w:lang w:val="tr-TR"/>
        </w:rPr>
      </w:pPr>
      <w:proofErr w:type="spellStart"/>
      <w:r w:rsidRPr="00A4651C">
        <w:rPr>
          <w:lang w:val="tr-TR"/>
        </w:rPr>
        <w:t>Naproksen</w:t>
      </w:r>
      <w:proofErr w:type="spellEnd"/>
      <w:r w:rsidRPr="00A4651C">
        <w:rPr>
          <w:lang w:val="tr-TR"/>
        </w:rPr>
        <w:t xml:space="preserve"> sodyum</w:t>
      </w:r>
      <w:r w:rsidR="0088131E" w:rsidRPr="00A4651C">
        <w:rPr>
          <w:lang w:val="tr-TR"/>
        </w:rPr>
        <w:tab/>
      </w:r>
      <w:proofErr w:type="gramStart"/>
      <w:r w:rsidRPr="00A4651C">
        <w:rPr>
          <w:lang w:val="tr-TR"/>
        </w:rPr>
        <w:t>550.0</w:t>
      </w:r>
      <w:proofErr w:type="gramEnd"/>
      <w:r w:rsidRPr="00A4651C">
        <w:rPr>
          <w:lang w:val="tr-TR"/>
        </w:rPr>
        <w:t xml:space="preserve"> mg</w:t>
      </w:r>
    </w:p>
    <w:p w:rsidR="00294C59" w:rsidRPr="00A4651C" w:rsidRDefault="00294C59" w:rsidP="0088131E">
      <w:pPr>
        <w:spacing w:line="276" w:lineRule="auto"/>
        <w:jc w:val="both"/>
        <w:rPr>
          <w:b/>
        </w:rPr>
      </w:pPr>
      <w:r w:rsidRPr="00A4651C">
        <w:rPr>
          <w:b/>
        </w:rPr>
        <w:t>Yardımcı maddeler</w:t>
      </w:r>
    </w:p>
    <w:p w:rsidR="00294C59" w:rsidRPr="00A4651C" w:rsidRDefault="00294C59" w:rsidP="0088131E">
      <w:pPr>
        <w:spacing w:line="276" w:lineRule="auto"/>
        <w:jc w:val="both"/>
        <w:rPr>
          <w:lang w:val="tr-TR"/>
        </w:rPr>
      </w:pPr>
      <w:r w:rsidRPr="00A4651C">
        <w:rPr>
          <w:lang w:val="tr-TR"/>
        </w:rPr>
        <w:t xml:space="preserve">Yardımcı maddeler için, </w:t>
      </w:r>
      <w:r w:rsidR="0088131E" w:rsidRPr="00A4651C">
        <w:rPr>
          <w:lang w:val="tr-TR"/>
        </w:rPr>
        <w:t>b</w:t>
      </w:r>
      <w:r w:rsidRPr="00A4651C">
        <w:rPr>
          <w:lang w:val="tr-TR"/>
        </w:rPr>
        <w:t xml:space="preserve">kz. </w:t>
      </w:r>
      <w:proofErr w:type="gramStart"/>
      <w:r w:rsidRPr="00A4651C">
        <w:rPr>
          <w:lang w:val="tr-TR"/>
        </w:rPr>
        <w:t>6.1</w:t>
      </w:r>
      <w:proofErr w:type="gramEnd"/>
      <w:r w:rsidR="0088131E" w:rsidRPr="00A4651C">
        <w:rPr>
          <w:lang w:val="tr-TR"/>
        </w:rPr>
        <w:t>.</w:t>
      </w:r>
    </w:p>
    <w:p w:rsidR="00511D8D" w:rsidRPr="00A4651C" w:rsidRDefault="00511D8D" w:rsidP="0088131E">
      <w:pPr>
        <w:pStyle w:val="stbilgi"/>
        <w:tabs>
          <w:tab w:val="clear" w:pos="4536"/>
        </w:tabs>
        <w:spacing w:line="276" w:lineRule="auto"/>
        <w:jc w:val="both"/>
        <w:rPr>
          <w:lang w:val="tr-TR"/>
        </w:rPr>
      </w:pPr>
    </w:p>
    <w:p w:rsidR="00242196" w:rsidRPr="00A4651C" w:rsidRDefault="00182658" w:rsidP="0088131E">
      <w:pPr>
        <w:spacing w:line="276" w:lineRule="auto"/>
        <w:jc w:val="both"/>
        <w:rPr>
          <w:b/>
          <w:lang w:val="tr-TR"/>
        </w:rPr>
      </w:pPr>
      <w:r w:rsidRPr="00A4651C">
        <w:rPr>
          <w:b/>
          <w:lang w:val="tr-TR"/>
        </w:rPr>
        <w:t xml:space="preserve">3. </w:t>
      </w:r>
      <w:r w:rsidR="00242196" w:rsidRPr="00A4651C">
        <w:rPr>
          <w:b/>
          <w:lang w:val="tr-TR"/>
        </w:rPr>
        <w:t>FARMASÖTİK FORM</w:t>
      </w:r>
    </w:p>
    <w:p w:rsidR="00242196" w:rsidRPr="00A4651C" w:rsidRDefault="006D46D9" w:rsidP="0088131E">
      <w:pPr>
        <w:spacing w:line="276" w:lineRule="auto"/>
        <w:jc w:val="both"/>
        <w:rPr>
          <w:b/>
          <w:lang w:val="tr-TR"/>
        </w:rPr>
      </w:pPr>
      <w:r w:rsidRPr="00A4651C">
        <w:rPr>
          <w:lang w:val="tr-TR"/>
        </w:rPr>
        <w:t xml:space="preserve">Film </w:t>
      </w:r>
      <w:r w:rsidR="00561179" w:rsidRPr="00A4651C">
        <w:rPr>
          <w:lang w:val="tr-TR"/>
        </w:rPr>
        <w:t>t</w:t>
      </w:r>
      <w:r w:rsidR="00242196" w:rsidRPr="00A4651C">
        <w:rPr>
          <w:lang w:val="tr-TR"/>
        </w:rPr>
        <w:t>ablet</w:t>
      </w:r>
      <w:r w:rsidR="00D95AD1" w:rsidRPr="00A4651C">
        <w:rPr>
          <w:lang w:val="tr-TR"/>
        </w:rPr>
        <w:t>.</w:t>
      </w:r>
    </w:p>
    <w:p w:rsidR="00175B72" w:rsidRPr="00A4651C" w:rsidRDefault="00923911" w:rsidP="0088131E">
      <w:pPr>
        <w:spacing w:line="276" w:lineRule="auto"/>
        <w:jc w:val="both"/>
        <w:rPr>
          <w:lang w:val="tr-TR"/>
        </w:rPr>
      </w:pPr>
      <w:r w:rsidRPr="00A4651C">
        <w:rPr>
          <w:lang w:val="tr-TR"/>
        </w:rPr>
        <w:t>Beyaz film kaplı, kokusuz, bir yüzü ortadan çentikli, diğer yüzü “APJ 550” baskılı,</w:t>
      </w:r>
      <w:r w:rsidR="00561179" w:rsidRPr="00A4651C">
        <w:rPr>
          <w:lang w:val="tr-TR"/>
        </w:rPr>
        <w:t xml:space="preserve"> </w:t>
      </w:r>
      <w:r w:rsidRPr="00A4651C">
        <w:rPr>
          <w:lang w:val="tr-TR"/>
        </w:rPr>
        <w:t xml:space="preserve">homojen görünüşlü </w:t>
      </w:r>
      <w:proofErr w:type="spellStart"/>
      <w:r w:rsidRPr="00A4651C">
        <w:rPr>
          <w:lang w:val="tr-TR"/>
        </w:rPr>
        <w:t>oblong</w:t>
      </w:r>
      <w:proofErr w:type="spellEnd"/>
      <w:r w:rsidRPr="00A4651C">
        <w:rPr>
          <w:lang w:val="tr-TR"/>
        </w:rPr>
        <w:t xml:space="preserve"> tabletler. </w:t>
      </w:r>
    </w:p>
    <w:p w:rsidR="00511D8D" w:rsidRPr="00A4651C" w:rsidRDefault="00511D8D" w:rsidP="0088131E">
      <w:pPr>
        <w:spacing w:line="276" w:lineRule="auto"/>
        <w:jc w:val="both"/>
        <w:rPr>
          <w:b/>
          <w:lang w:val="tr-TR"/>
        </w:rPr>
      </w:pPr>
    </w:p>
    <w:p w:rsidR="00242196" w:rsidRPr="00A4651C" w:rsidRDefault="001A5835" w:rsidP="0088131E">
      <w:pPr>
        <w:spacing w:line="276" w:lineRule="auto"/>
        <w:jc w:val="both"/>
        <w:rPr>
          <w:lang w:val="tr-TR"/>
        </w:rPr>
      </w:pPr>
      <w:r w:rsidRPr="00A4651C">
        <w:rPr>
          <w:b/>
          <w:lang w:val="tr-TR"/>
        </w:rPr>
        <w:t>4.</w:t>
      </w:r>
      <w:r w:rsidR="00511D8D" w:rsidRPr="00A4651C">
        <w:rPr>
          <w:b/>
          <w:lang w:val="tr-TR"/>
        </w:rPr>
        <w:t xml:space="preserve"> </w:t>
      </w:r>
      <w:r w:rsidR="00242196" w:rsidRPr="00A4651C">
        <w:rPr>
          <w:b/>
          <w:lang w:val="tr-TR"/>
        </w:rPr>
        <w:t>KLİNİK ÖZELLİKLER</w:t>
      </w:r>
    </w:p>
    <w:p w:rsidR="00511D8D" w:rsidRPr="00A4651C" w:rsidRDefault="00511D8D" w:rsidP="0088131E">
      <w:pPr>
        <w:spacing w:line="276" w:lineRule="auto"/>
        <w:jc w:val="both"/>
        <w:rPr>
          <w:b/>
          <w:lang w:val="tr-TR"/>
        </w:rPr>
      </w:pPr>
      <w:r w:rsidRPr="00A4651C">
        <w:rPr>
          <w:b/>
          <w:lang w:val="tr-TR"/>
        </w:rPr>
        <w:t>4.1.</w:t>
      </w:r>
      <w:r w:rsidRPr="00A4651C">
        <w:rPr>
          <w:b/>
          <w:lang w:val="tr-TR"/>
        </w:rPr>
        <w:tab/>
        <w:t>Terapötik endikasyonlar</w:t>
      </w:r>
    </w:p>
    <w:p w:rsidR="0088131E" w:rsidRPr="00A4651C" w:rsidRDefault="0088131E" w:rsidP="0088131E">
      <w:pPr>
        <w:pStyle w:val="Default"/>
        <w:rPr>
          <w:color w:val="auto"/>
        </w:rPr>
      </w:pPr>
      <w:proofErr w:type="spellStart"/>
      <w:r w:rsidRPr="00A4651C">
        <w:rPr>
          <w:color w:val="auto"/>
        </w:rPr>
        <w:t>Osteoartrit</w:t>
      </w:r>
      <w:proofErr w:type="spellEnd"/>
      <w:r w:rsidRPr="00A4651C">
        <w:rPr>
          <w:color w:val="auto"/>
        </w:rPr>
        <w:t xml:space="preserve">, </w:t>
      </w:r>
      <w:proofErr w:type="spellStart"/>
      <w:r w:rsidRPr="00A4651C">
        <w:rPr>
          <w:color w:val="auto"/>
        </w:rPr>
        <w:t>romatoid</w:t>
      </w:r>
      <w:proofErr w:type="spellEnd"/>
      <w:r w:rsidRPr="00A4651C">
        <w:rPr>
          <w:color w:val="auto"/>
        </w:rPr>
        <w:t xml:space="preserve"> </w:t>
      </w:r>
      <w:proofErr w:type="spellStart"/>
      <w:r w:rsidRPr="00A4651C">
        <w:rPr>
          <w:color w:val="auto"/>
        </w:rPr>
        <w:t>artrit</w:t>
      </w:r>
      <w:proofErr w:type="spellEnd"/>
      <w:r w:rsidRPr="00A4651C">
        <w:rPr>
          <w:color w:val="auto"/>
        </w:rPr>
        <w:t xml:space="preserve"> ve </w:t>
      </w:r>
      <w:proofErr w:type="spellStart"/>
      <w:r w:rsidRPr="00A4651C">
        <w:rPr>
          <w:color w:val="auto"/>
        </w:rPr>
        <w:t>ankilozan</w:t>
      </w:r>
      <w:proofErr w:type="spellEnd"/>
      <w:r w:rsidRPr="00A4651C">
        <w:rPr>
          <w:color w:val="auto"/>
        </w:rPr>
        <w:t xml:space="preserve"> </w:t>
      </w:r>
      <w:proofErr w:type="spellStart"/>
      <w:r w:rsidRPr="00A4651C">
        <w:rPr>
          <w:color w:val="auto"/>
        </w:rPr>
        <w:t>spondilit</w:t>
      </w:r>
      <w:proofErr w:type="spellEnd"/>
      <w:r w:rsidRPr="00A4651C">
        <w:rPr>
          <w:color w:val="auto"/>
        </w:rPr>
        <w:t xml:space="preserve"> belirti ve bulgularının tedavisi ile akut gut</w:t>
      </w:r>
    </w:p>
    <w:p w:rsidR="0088131E" w:rsidRPr="00A4651C" w:rsidRDefault="0088131E" w:rsidP="0088131E">
      <w:pPr>
        <w:pStyle w:val="Default"/>
        <w:rPr>
          <w:color w:val="auto"/>
        </w:rPr>
      </w:pPr>
      <w:proofErr w:type="spellStart"/>
      <w:r w:rsidRPr="00A4651C">
        <w:rPr>
          <w:color w:val="auto"/>
        </w:rPr>
        <w:t>artriti</w:t>
      </w:r>
      <w:proofErr w:type="spellEnd"/>
      <w:r w:rsidRPr="00A4651C">
        <w:rPr>
          <w:color w:val="auto"/>
        </w:rPr>
        <w:t xml:space="preserve">, akut kas iskelet sistemi ağrıları, </w:t>
      </w:r>
      <w:proofErr w:type="spellStart"/>
      <w:r w:rsidRPr="00A4651C">
        <w:rPr>
          <w:color w:val="auto"/>
        </w:rPr>
        <w:t>postoperatif</w:t>
      </w:r>
      <w:proofErr w:type="spellEnd"/>
      <w:r w:rsidRPr="00A4651C">
        <w:rPr>
          <w:color w:val="auto"/>
        </w:rPr>
        <w:t xml:space="preserve"> ağrı ve </w:t>
      </w:r>
      <w:proofErr w:type="spellStart"/>
      <w:r w:rsidRPr="00A4651C">
        <w:rPr>
          <w:color w:val="auto"/>
        </w:rPr>
        <w:t>dismenore</w:t>
      </w:r>
      <w:proofErr w:type="spellEnd"/>
      <w:r w:rsidRPr="00A4651C">
        <w:rPr>
          <w:color w:val="auto"/>
        </w:rPr>
        <w:t xml:space="preserve"> tedavisinde endikedir.</w:t>
      </w:r>
    </w:p>
    <w:p w:rsidR="008C055B" w:rsidRPr="00A4651C" w:rsidRDefault="008C055B" w:rsidP="0088131E">
      <w:pPr>
        <w:pStyle w:val="Default"/>
        <w:spacing w:line="276" w:lineRule="auto"/>
        <w:jc w:val="both"/>
        <w:rPr>
          <w:color w:val="auto"/>
        </w:rPr>
      </w:pPr>
    </w:p>
    <w:p w:rsidR="00511D8D" w:rsidRPr="00A4651C" w:rsidRDefault="00511D8D" w:rsidP="0088131E">
      <w:pPr>
        <w:spacing w:line="276" w:lineRule="auto"/>
        <w:jc w:val="both"/>
        <w:rPr>
          <w:b/>
        </w:rPr>
      </w:pPr>
      <w:r w:rsidRPr="00A4651C">
        <w:rPr>
          <w:b/>
        </w:rPr>
        <w:t>4.2.</w:t>
      </w:r>
      <w:r w:rsidRPr="00A4651C">
        <w:rPr>
          <w:b/>
        </w:rPr>
        <w:tab/>
        <w:t>Pozoloji ve uygulama şekli</w:t>
      </w:r>
    </w:p>
    <w:p w:rsidR="0088131E" w:rsidRPr="00A4651C" w:rsidRDefault="0088131E" w:rsidP="0088131E">
      <w:pPr>
        <w:spacing w:line="276" w:lineRule="auto"/>
        <w:jc w:val="both"/>
        <w:rPr>
          <w:lang w:val="tr-TR"/>
        </w:rPr>
      </w:pPr>
      <w:r w:rsidRPr="00A4651C">
        <w:rPr>
          <w:b/>
          <w:bCs/>
          <w:lang w:val="tr-TR"/>
        </w:rPr>
        <w:t>Pozoloji/uygulama sıklığı ve süresi</w:t>
      </w:r>
    </w:p>
    <w:p w:rsidR="0088131E" w:rsidRPr="00A4651C" w:rsidRDefault="0088131E" w:rsidP="0088131E">
      <w:pPr>
        <w:spacing w:line="276" w:lineRule="auto"/>
        <w:jc w:val="both"/>
        <w:rPr>
          <w:lang w:val="tr-TR"/>
        </w:rPr>
      </w:pPr>
      <w:r w:rsidRPr="00A4651C">
        <w:rPr>
          <w:lang w:val="tr-TR"/>
        </w:rPr>
        <w:t>Ağrı, primer dismenore, akut kas iskelet sistemi ağrıları tedavisinde</w:t>
      </w:r>
      <w:r w:rsidRPr="00A4651C">
        <w:rPr>
          <w:bCs/>
          <w:lang w:val="tr-TR"/>
        </w:rPr>
        <w:t>:</w:t>
      </w:r>
      <w:r w:rsidRPr="00A4651C">
        <w:rPr>
          <w:b/>
          <w:bCs/>
          <w:lang w:val="tr-TR"/>
        </w:rPr>
        <w:t xml:space="preserve"> </w:t>
      </w:r>
      <w:r w:rsidRPr="00A4651C">
        <w:rPr>
          <w:lang w:val="tr-TR"/>
        </w:rPr>
        <w:t>Önerilen başlangıç dozu 550 mg olup daha sonra 12 saatte bir 550 mg veya 6-8 saatte bir 275 mg ile devam edilir. Başlangıç günlük dozu 1375 mg’ı ve daha sonra ise 1100 mg’ı aşmamalıdır.</w:t>
      </w:r>
    </w:p>
    <w:p w:rsidR="0088131E" w:rsidRPr="00A4651C" w:rsidRDefault="0088131E" w:rsidP="0088131E">
      <w:pPr>
        <w:spacing w:line="276" w:lineRule="auto"/>
        <w:jc w:val="both"/>
        <w:rPr>
          <w:lang w:val="tr-TR"/>
        </w:rPr>
      </w:pPr>
    </w:p>
    <w:p w:rsidR="0088131E" w:rsidRPr="00A4651C" w:rsidRDefault="0088131E" w:rsidP="0088131E">
      <w:pPr>
        <w:spacing w:line="276" w:lineRule="auto"/>
        <w:jc w:val="both"/>
        <w:rPr>
          <w:lang w:val="tr-TR"/>
        </w:rPr>
      </w:pPr>
      <w:r w:rsidRPr="00A4651C">
        <w:rPr>
          <w:lang w:val="tr-TR"/>
        </w:rPr>
        <w:t>Akut Gut’ta: Önerilen başlangıç dozu 825 mg olup daha sonra 8 saatlik aralarla 275 mg şeklinde devam edilir.</w:t>
      </w:r>
    </w:p>
    <w:p w:rsidR="0088131E" w:rsidRPr="00A4651C" w:rsidRDefault="0088131E" w:rsidP="0088131E">
      <w:pPr>
        <w:spacing w:line="276" w:lineRule="auto"/>
        <w:jc w:val="both"/>
        <w:rPr>
          <w:lang w:val="tr-TR"/>
        </w:rPr>
      </w:pPr>
      <w:r w:rsidRPr="00A4651C">
        <w:rPr>
          <w:lang w:val="tr-TR"/>
        </w:rPr>
        <w:t>Uzun dönemli tedavi sırasında, doz hastadan alınan klinik yanıta göre artırılıp azaltılacak şekilde ayarlanabilir.</w:t>
      </w:r>
    </w:p>
    <w:p w:rsidR="0088131E" w:rsidRPr="00A4651C" w:rsidRDefault="0088131E" w:rsidP="0088131E">
      <w:pPr>
        <w:spacing w:line="276" w:lineRule="auto"/>
        <w:jc w:val="both"/>
        <w:rPr>
          <w:lang w:val="tr-TR"/>
        </w:rPr>
      </w:pPr>
    </w:p>
    <w:p w:rsidR="0088131E" w:rsidRPr="00A4651C" w:rsidRDefault="0088131E" w:rsidP="0088131E">
      <w:pPr>
        <w:spacing w:line="276" w:lineRule="auto"/>
        <w:jc w:val="both"/>
        <w:rPr>
          <w:lang w:val="tr-TR"/>
        </w:rPr>
      </w:pPr>
      <w:r w:rsidRPr="00A4651C">
        <w:rPr>
          <w:lang w:val="tr-TR"/>
        </w:rPr>
        <w:t xml:space="preserve">Gerektiğinde daha yüksek seviyede antienflamatuar/ analjezik aktivite sağlamak için düşük dozları iyi </w:t>
      </w:r>
      <w:proofErr w:type="spellStart"/>
      <w:r w:rsidRPr="00A4651C">
        <w:rPr>
          <w:lang w:val="tr-TR"/>
        </w:rPr>
        <w:t>tolere</w:t>
      </w:r>
      <w:proofErr w:type="spellEnd"/>
      <w:r w:rsidRPr="00A4651C">
        <w:rPr>
          <w:lang w:val="tr-TR"/>
        </w:rPr>
        <w:t xml:space="preserve"> eden hastalarda 6 aya kadar günlük doz l500 mg’a kadar artırılabilir. Bu gibi yüksek dozlarda, hekim artmış klinik yararların potansiyel olarak artmış riskten daha fazla olduğunu gözlemelidir.</w:t>
      </w:r>
    </w:p>
    <w:p w:rsidR="0088131E" w:rsidRPr="00A4651C" w:rsidRDefault="0088131E" w:rsidP="0088131E">
      <w:pPr>
        <w:spacing w:line="276" w:lineRule="auto"/>
        <w:jc w:val="both"/>
        <w:rPr>
          <w:b/>
          <w:bCs/>
          <w:lang w:val="tr-TR"/>
        </w:rPr>
      </w:pPr>
    </w:p>
    <w:p w:rsidR="0088131E" w:rsidRPr="00A4651C" w:rsidRDefault="0088131E" w:rsidP="0088131E">
      <w:pPr>
        <w:spacing w:line="276" w:lineRule="auto"/>
        <w:jc w:val="both"/>
        <w:rPr>
          <w:lang w:val="tr-TR"/>
        </w:rPr>
      </w:pPr>
      <w:r w:rsidRPr="00A4651C">
        <w:rPr>
          <w:b/>
          <w:bCs/>
          <w:lang w:val="tr-TR"/>
        </w:rPr>
        <w:t>Uygulama şekli:</w:t>
      </w:r>
    </w:p>
    <w:p w:rsidR="0088131E" w:rsidRPr="00A4651C" w:rsidRDefault="0088131E" w:rsidP="0088131E">
      <w:pPr>
        <w:spacing w:line="276" w:lineRule="auto"/>
        <w:jc w:val="both"/>
        <w:rPr>
          <w:lang w:val="tr-TR"/>
        </w:rPr>
      </w:pPr>
      <w:r w:rsidRPr="00A4651C">
        <w:rPr>
          <w:lang w:val="tr-TR"/>
        </w:rPr>
        <w:t>Ağız yolundan yeterli miktarda su ile yutulmalıdır.</w:t>
      </w:r>
    </w:p>
    <w:p w:rsidR="0088131E" w:rsidRPr="00A4651C" w:rsidRDefault="0088131E" w:rsidP="0088131E">
      <w:pPr>
        <w:spacing w:line="276" w:lineRule="auto"/>
        <w:jc w:val="both"/>
        <w:rPr>
          <w:lang w:val="tr-TR"/>
        </w:rPr>
      </w:pPr>
      <w:r w:rsidRPr="00A4651C">
        <w:rPr>
          <w:lang w:val="tr-TR"/>
        </w:rPr>
        <w:t>Yemeklerden sonra alınmalıdır.</w:t>
      </w:r>
    </w:p>
    <w:p w:rsidR="0088131E" w:rsidRPr="00A4651C" w:rsidRDefault="0088131E" w:rsidP="0088131E">
      <w:pPr>
        <w:spacing w:line="276" w:lineRule="auto"/>
        <w:jc w:val="both"/>
        <w:rPr>
          <w:lang w:val="tr-TR"/>
        </w:rPr>
      </w:pPr>
    </w:p>
    <w:p w:rsidR="0088131E" w:rsidRPr="00A4651C" w:rsidRDefault="0088131E" w:rsidP="0088131E">
      <w:pPr>
        <w:spacing w:line="276" w:lineRule="auto"/>
        <w:jc w:val="both"/>
        <w:rPr>
          <w:b/>
          <w:bCs/>
          <w:lang w:val="tr-TR"/>
        </w:rPr>
      </w:pPr>
      <w:r w:rsidRPr="00A4651C">
        <w:rPr>
          <w:b/>
          <w:bCs/>
          <w:lang w:val="tr-TR"/>
        </w:rPr>
        <w:t xml:space="preserve">Özel </w:t>
      </w:r>
      <w:proofErr w:type="gramStart"/>
      <w:r w:rsidRPr="00A4651C">
        <w:rPr>
          <w:b/>
          <w:bCs/>
          <w:lang w:val="tr-TR"/>
        </w:rPr>
        <w:t>popülasyonlara</w:t>
      </w:r>
      <w:proofErr w:type="gramEnd"/>
      <w:r w:rsidRPr="00A4651C">
        <w:rPr>
          <w:b/>
          <w:bCs/>
          <w:lang w:val="tr-TR"/>
        </w:rPr>
        <w:t xml:space="preserve"> ilişkin ek bilgiler:</w:t>
      </w:r>
    </w:p>
    <w:p w:rsidR="0088131E" w:rsidRPr="00A4651C" w:rsidRDefault="0088131E" w:rsidP="0088131E">
      <w:pPr>
        <w:spacing w:line="276" w:lineRule="auto"/>
        <w:jc w:val="both"/>
        <w:rPr>
          <w:lang w:val="tr-TR"/>
        </w:rPr>
      </w:pPr>
      <w:r w:rsidRPr="00A4651C">
        <w:rPr>
          <w:b/>
          <w:bCs/>
          <w:lang w:val="tr-TR"/>
        </w:rPr>
        <w:t>Böbrek/Karaciğer yetmezliği:</w:t>
      </w:r>
    </w:p>
    <w:p w:rsidR="0088131E" w:rsidRPr="00A4651C" w:rsidRDefault="0088131E" w:rsidP="0088131E">
      <w:pPr>
        <w:spacing w:line="276" w:lineRule="auto"/>
        <w:jc w:val="both"/>
        <w:rPr>
          <w:lang w:val="tr-TR"/>
        </w:rPr>
      </w:pPr>
      <w:r w:rsidRPr="00A4651C">
        <w:rPr>
          <w:lang w:val="tr-TR"/>
        </w:rPr>
        <w:t>Böbrek fonksiyon testleri bozulduğu takdirde kullanılmamalıdır.</w:t>
      </w:r>
    </w:p>
    <w:p w:rsidR="0088131E" w:rsidRPr="00A4651C" w:rsidRDefault="0088131E" w:rsidP="0088131E">
      <w:pPr>
        <w:spacing w:line="276" w:lineRule="auto"/>
        <w:jc w:val="both"/>
        <w:rPr>
          <w:lang w:val="tr-TR"/>
        </w:rPr>
      </w:pPr>
      <w:r w:rsidRPr="00A4651C">
        <w:rPr>
          <w:lang w:val="tr-TR"/>
        </w:rPr>
        <w:lastRenderedPageBreak/>
        <w:t>Karaciğer fonksiyon bozukluğu olan hastalarda kullanılırken dikkatli olunmalıdır.</w:t>
      </w:r>
    </w:p>
    <w:p w:rsidR="0088131E" w:rsidRPr="00A4651C" w:rsidRDefault="0088131E" w:rsidP="0088131E">
      <w:pPr>
        <w:spacing w:line="276" w:lineRule="auto"/>
        <w:jc w:val="both"/>
        <w:rPr>
          <w:lang w:val="tr-TR"/>
        </w:rPr>
      </w:pPr>
      <w:r w:rsidRPr="00A4651C">
        <w:rPr>
          <w:lang w:val="tr-TR"/>
        </w:rPr>
        <w:t>Karaciğer fonksiyon testlerinden bir veya daha çoğunun nonsteroidal antiinflamatuvar ilaçlar ile yükseldiği bildirilmiştir.</w:t>
      </w:r>
    </w:p>
    <w:p w:rsidR="0088131E" w:rsidRPr="00A4651C" w:rsidRDefault="0088131E" w:rsidP="0088131E">
      <w:pPr>
        <w:spacing w:line="276" w:lineRule="auto"/>
        <w:jc w:val="both"/>
        <w:rPr>
          <w:lang w:val="tr-TR"/>
        </w:rPr>
      </w:pPr>
    </w:p>
    <w:p w:rsidR="0088131E" w:rsidRPr="00A4651C" w:rsidRDefault="0088131E" w:rsidP="0088131E">
      <w:pPr>
        <w:spacing w:line="276" w:lineRule="auto"/>
        <w:jc w:val="both"/>
        <w:rPr>
          <w:lang w:val="tr-TR"/>
        </w:rPr>
      </w:pPr>
      <w:r w:rsidRPr="00A4651C">
        <w:rPr>
          <w:b/>
          <w:bCs/>
          <w:lang w:val="tr-TR"/>
        </w:rPr>
        <w:t xml:space="preserve">Pediyatrik </w:t>
      </w:r>
      <w:proofErr w:type="gramStart"/>
      <w:r w:rsidRPr="00A4651C">
        <w:rPr>
          <w:b/>
          <w:bCs/>
          <w:lang w:val="tr-TR"/>
        </w:rPr>
        <w:t>popülasyon</w:t>
      </w:r>
      <w:proofErr w:type="gramEnd"/>
      <w:r w:rsidRPr="00A4651C">
        <w:rPr>
          <w:b/>
          <w:bCs/>
          <w:lang w:val="tr-TR"/>
        </w:rPr>
        <w:t>:</w:t>
      </w:r>
    </w:p>
    <w:p w:rsidR="0088131E" w:rsidRPr="00A4651C" w:rsidRDefault="0088131E" w:rsidP="0088131E">
      <w:pPr>
        <w:spacing w:line="276" w:lineRule="auto"/>
        <w:jc w:val="both"/>
        <w:rPr>
          <w:lang w:val="tr-TR"/>
        </w:rPr>
      </w:pPr>
      <w:r w:rsidRPr="00A4651C">
        <w:rPr>
          <w:lang w:val="tr-TR"/>
        </w:rPr>
        <w:t xml:space="preserve">Emniyet ve etkinlik araştırmaları tamamlanmadığından </w:t>
      </w:r>
      <w:r w:rsidR="00FE15CE" w:rsidRPr="00A4651C">
        <w:rPr>
          <w:lang w:val="tr-TR"/>
        </w:rPr>
        <w:t>APRALJİN FORTE</w:t>
      </w:r>
      <w:r w:rsidRPr="00A4651C">
        <w:rPr>
          <w:lang w:val="tr-TR"/>
        </w:rPr>
        <w:t xml:space="preserve"> 16 yaşından küçük çocuklarda kullanılmamalıdır. Ancak sadece </w:t>
      </w:r>
      <w:proofErr w:type="spellStart"/>
      <w:r w:rsidRPr="00A4651C">
        <w:rPr>
          <w:lang w:val="tr-TR"/>
        </w:rPr>
        <w:t>juvenil</w:t>
      </w:r>
      <w:proofErr w:type="spellEnd"/>
      <w:r w:rsidRPr="00A4651C">
        <w:rPr>
          <w:lang w:val="tr-TR"/>
        </w:rPr>
        <w:t xml:space="preserve"> </w:t>
      </w:r>
      <w:proofErr w:type="spellStart"/>
      <w:r w:rsidRPr="00A4651C">
        <w:rPr>
          <w:lang w:val="tr-TR"/>
        </w:rPr>
        <w:t>romatoid</w:t>
      </w:r>
      <w:proofErr w:type="spellEnd"/>
      <w:r w:rsidRPr="00A4651C">
        <w:rPr>
          <w:lang w:val="tr-TR"/>
        </w:rPr>
        <w:t xml:space="preserve"> </w:t>
      </w:r>
      <w:proofErr w:type="spellStart"/>
      <w:r w:rsidRPr="00A4651C">
        <w:rPr>
          <w:lang w:val="tr-TR"/>
        </w:rPr>
        <w:t>artrit’te</w:t>
      </w:r>
      <w:proofErr w:type="spellEnd"/>
      <w:r w:rsidRPr="00A4651C">
        <w:rPr>
          <w:lang w:val="tr-TR"/>
        </w:rPr>
        <w:t xml:space="preserve"> 5 yaşından büyük çocuklarda 10 mg/kg/gün dozda 12 saat ara ile kullanılmalıdır.</w:t>
      </w:r>
    </w:p>
    <w:p w:rsidR="0088131E" w:rsidRPr="00A4651C" w:rsidRDefault="0088131E" w:rsidP="0088131E">
      <w:pPr>
        <w:spacing w:line="276" w:lineRule="auto"/>
        <w:jc w:val="both"/>
        <w:rPr>
          <w:lang w:val="tr-TR"/>
        </w:rPr>
      </w:pPr>
    </w:p>
    <w:p w:rsidR="0088131E" w:rsidRPr="00A4651C" w:rsidRDefault="0088131E" w:rsidP="0088131E">
      <w:pPr>
        <w:spacing w:line="276" w:lineRule="auto"/>
        <w:jc w:val="both"/>
        <w:rPr>
          <w:lang w:val="tr-TR"/>
        </w:rPr>
      </w:pPr>
      <w:r w:rsidRPr="00A4651C">
        <w:rPr>
          <w:b/>
          <w:bCs/>
          <w:lang w:val="tr-TR"/>
        </w:rPr>
        <w:t xml:space="preserve">Geriyatrik </w:t>
      </w:r>
      <w:proofErr w:type="gramStart"/>
      <w:r w:rsidRPr="00A4651C">
        <w:rPr>
          <w:b/>
          <w:bCs/>
          <w:lang w:val="tr-TR"/>
        </w:rPr>
        <w:t>popülasyon</w:t>
      </w:r>
      <w:proofErr w:type="gramEnd"/>
      <w:r w:rsidRPr="00A4651C">
        <w:rPr>
          <w:b/>
          <w:bCs/>
          <w:lang w:val="tr-TR"/>
        </w:rPr>
        <w:t>:</w:t>
      </w:r>
    </w:p>
    <w:p w:rsidR="0088131E" w:rsidRPr="00A4651C" w:rsidRDefault="0088131E" w:rsidP="0088131E">
      <w:pPr>
        <w:spacing w:line="276" w:lineRule="auto"/>
        <w:jc w:val="both"/>
        <w:rPr>
          <w:lang w:val="tr-TR"/>
        </w:rPr>
      </w:pPr>
      <w:r w:rsidRPr="00A4651C">
        <w:rPr>
          <w:lang w:val="tr-TR"/>
        </w:rPr>
        <w:t xml:space="preserve">Yaşlılarda ilacın </w:t>
      </w:r>
      <w:proofErr w:type="gramStart"/>
      <w:r w:rsidRPr="00A4651C">
        <w:rPr>
          <w:lang w:val="tr-TR"/>
        </w:rPr>
        <w:t>eliminasyonu</w:t>
      </w:r>
      <w:proofErr w:type="gramEnd"/>
      <w:r w:rsidRPr="00A4651C">
        <w:rPr>
          <w:lang w:val="tr-TR"/>
        </w:rPr>
        <w:t xml:space="preserve"> azalabileceğinden, dozda dikkatli olunmalı, etkili en düşük doz kullanılmalıdır.</w:t>
      </w:r>
    </w:p>
    <w:p w:rsidR="0088131E" w:rsidRPr="00A4651C" w:rsidRDefault="0088131E" w:rsidP="0088131E">
      <w:pPr>
        <w:spacing w:line="276" w:lineRule="auto"/>
        <w:jc w:val="both"/>
        <w:rPr>
          <w:lang w:val="tr-TR"/>
        </w:rPr>
      </w:pPr>
    </w:p>
    <w:p w:rsidR="0088131E" w:rsidRPr="00A4651C" w:rsidRDefault="0088131E" w:rsidP="0088131E">
      <w:pPr>
        <w:spacing w:line="276" w:lineRule="auto"/>
        <w:jc w:val="both"/>
        <w:rPr>
          <w:lang w:val="tr-TR"/>
        </w:rPr>
      </w:pPr>
      <w:r w:rsidRPr="00A4651C">
        <w:rPr>
          <w:lang w:val="tr-TR"/>
        </w:rPr>
        <w:t>NSAİİ tedavisi sırasında gastrointestinal kanama riski açısından hastalar yakından izlenmelidir.</w:t>
      </w:r>
    </w:p>
    <w:p w:rsidR="0088131E" w:rsidRPr="00A4651C" w:rsidRDefault="0088131E" w:rsidP="0088131E">
      <w:pPr>
        <w:spacing w:line="276" w:lineRule="auto"/>
        <w:jc w:val="both"/>
      </w:pPr>
    </w:p>
    <w:p w:rsidR="00511D8D" w:rsidRPr="00A4651C" w:rsidRDefault="00511D8D" w:rsidP="0088131E">
      <w:pPr>
        <w:spacing w:line="276" w:lineRule="auto"/>
        <w:jc w:val="both"/>
        <w:rPr>
          <w:b/>
        </w:rPr>
      </w:pPr>
      <w:r w:rsidRPr="00A4651C">
        <w:rPr>
          <w:b/>
        </w:rPr>
        <w:t>4.3. Kontrendikasyonlar</w:t>
      </w:r>
    </w:p>
    <w:p w:rsidR="00FE15CE" w:rsidRPr="00A4651C" w:rsidRDefault="00FE15CE" w:rsidP="00FE15CE">
      <w:pPr>
        <w:spacing w:line="276" w:lineRule="auto"/>
        <w:jc w:val="both"/>
        <w:rPr>
          <w:lang w:val="tr-TR" w:eastAsia="tr-TR"/>
        </w:rPr>
      </w:pPr>
      <w:proofErr w:type="spellStart"/>
      <w:r w:rsidRPr="00A4651C">
        <w:rPr>
          <w:lang w:val="tr-TR" w:eastAsia="tr-TR"/>
        </w:rPr>
        <w:t>Naproksen</w:t>
      </w:r>
      <w:proofErr w:type="spellEnd"/>
      <w:r w:rsidRPr="00A4651C">
        <w:rPr>
          <w:lang w:val="tr-TR" w:eastAsia="tr-TR"/>
        </w:rPr>
        <w:t xml:space="preserve"> sodyuma aşırı duyarlı olduğu bilinen hastalarda APRALJİN FORTE kontrendikedir.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Aspirin veya diğer </w:t>
      </w:r>
      <w:proofErr w:type="spellStart"/>
      <w:r w:rsidRPr="00A4651C">
        <w:rPr>
          <w:lang w:val="tr-TR" w:eastAsia="tr-TR"/>
        </w:rPr>
        <w:t>NSAİİ’lerin</w:t>
      </w:r>
      <w:proofErr w:type="spellEnd"/>
      <w:r w:rsidRPr="00A4651C">
        <w:rPr>
          <w:lang w:val="tr-TR" w:eastAsia="tr-TR"/>
        </w:rPr>
        <w:t xml:space="preserve"> alımı sonucunda astım, ürtiker veya alerjik tipte reaksiyon görülen hastalara kullanılmamalıdır. Bu tür hastalarda </w:t>
      </w:r>
      <w:proofErr w:type="spellStart"/>
      <w:r w:rsidRPr="00A4651C">
        <w:rPr>
          <w:lang w:val="tr-TR" w:eastAsia="tr-TR"/>
        </w:rPr>
        <w:t>NSAİİ’ye</w:t>
      </w:r>
      <w:proofErr w:type="spellEnd"/>
      <w:r w:rsidRPr="00A4651C">
        <w:rPr>
          <w:lang w:val="tr-TR" w:eastAsia="tr-TR"/>
        </w:rPr>
        <w:t xml:space="preserve"> bağlı şiddetli, nadiren ölümcül olan, anafilaksi benzeri reaksiyonlar bildirilmiştir (Bakınız, bölüm </w:t>
      </w:r>
      <w:proofErr w:type="gramStart"/>
      <w:r w:rsidRPr="00A4651C">
        <w:rPr>
          <w:lang w:val="tr-TR" w:eastAsia="tr-TR"/>
        </w:rPr>
        <w:t>4.4</w:t>
      </w:r>
      <w:proofErr w:type="gramEnd"/>
      <w:r w:rsidRPr="00A4651C">
        <w:rPr>
          <w:lang w:val="tr-TR" w:eastAsia="tr-TR"/>
        </w:rPr>
        <w:t xml:space="preserve"> Özel kullanım uyarıları ve önlemleri)</w:t>
      </w:r>
      <w:r w:rsidR="0099664F" w:rsidRPr="00A4651C">
        <w:rPr>
          <w:lang w:val="tr-TR" w:eastAsia="tr-TR"/>
        </w:rPr>
        <w:t>.</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APRALJİN FORTE, koroner arter </w:t>
      </w:r>
      <w:proofErr w:type="spellStart"/>
      <w:r w:rsidRPr="00A4651C">
        <w:rPr>
          <w:lang w:val="tr-TR" w:eastAsia="tr-TR"/>
        </w:rPr>
        <w:t>by</w:t>
      </w:r>
      <w:proofErr w:type="spellEnd"/>
      <w:r w:rsidRPr="00A4651C">
        <w:rPr>
          <w:lang w:val="tr-TR" w:eastAsia="tr-TR"/>
        </w:rPr>
        <w:t>-</w:t>
      </w:r>
      <w:proofErr w:type="spellStart"/>
      <w:r w:rsidRPr="00A4651C">
        <w:rPr>
          <w:lang w:val="tr-TR" w:eastAsia="tr-TR"/>
        </w:rPr>
        <w:t>pass</w:t>
      </w:r>
      <w:proofErr w:type="spellEnd"/>
      <w:r w:rsidRPr="00A4651C">
        <w:rPr>
          <w:lang w:val="tr-TR" w:eastAsia="tr-TR"/>
        </w:rPr>
        <w:t xml:space="preserve"> </w:t>
      </w:r>
      <w:proofErr w:type="spellStart"/>
      <w:r w:rsidRPr="00A4651C">
        <w:rPr>
          <w:lang w:val="tr-TR" w:eastAsia="tr-TR"/>
        </w:rPr>
        <w:t>greft</w:t>
      </w:r>
      <w:proofErr w:type="spellEnd"/>
      <w:r w:rsidRPr="00A4651C">
        <w:rPr>
          <w:lang w:val="tr-TR" w:eastAsia="tr-TR"/>
        </w:rPr>
        <w:t xml:space="preserve"> (KABG) cerrahisinde, peri-</w:t>
      </w:r>
      <w:proofErr w:type="spellStart"/>
      <w:r w:rsidRPr="00A4651C">
        <w:rPr>
          <w:lang w:val="tr-TR" w:eastAsia="tr-TR"/>
        </w:rPr>
        <w:t>operatif</w:t>
      </w:r>
      <w:proofErr w:type="spellEnd"/>
      <w:r w:rsidRPr="00A4651C">
        <w:rPr>
          <w:lang w:val="tr-TR" w:eastAsia="tr-TR"/>
        </w:rPr>
        <w:t xml:space="preserve"> ağrı tedavisinde </w:t>
      </w:r>
      <w:proofErr w:type="spellStart"/>
      <w:r w:rsidRPr="00A4651C">
        <w:rPr>
          <w:lang w:val="tr-TR" w:eastAsia="tr-TR"/>
        </w:rPr>
        <w:t>kontrendikedir</w:t>
      </w:r>
      <w:proofErr w:type="spellEnd"/>
      <w:r w:rsidRPr="00A4651C">
        <w:rPr>
          <w:lang w:val="tr-TR" w:eastAsia="tr-TR"/>
        </w:rPr>
        <w:t xml:space="preserve">. (bakınız, bölüm </w:t>
      </w:r>
      <w:proofErr w:type="gramStart"/>
      <w:r w:rsidRPr="00A4651C">
        <w:rPr>
          <w:lang w:val="tr-TR" w:eastAsia="tr-TR"/>
        </w:rPr>
        <w:t>4.4</w:t>
      </w:r>
      <w:proofErr w:type="gramEnd"/>
      <w:r w:rsidRPr="00A4651C">
        <w:rPr>
          <w:lang w:val="tr-TR" w:eastAsia="tr-TR"/>
        </w:rPr>
        <w:t xml:space="preserve"> Özel kullanım uyarıları ve önlemleri)</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APRALJİN FORTE, daha önceki NSAİ ilaç tedavisi ile ilişkili olarak geçirilmiş veya halen aktif </w:t>
      </w:r>
      <w:proofErr w:type="spellStart"/>
      <w:r w:rsidRPr="00A4651C">
        <w:rPr>
          <w:lang w:val="tr-TR" w:eastAsia="tr-TR"/>
        </w:rPr>
        <w:t>gastrointestinal</w:t>
      </w:r>
      <w:proofErr w:type="spellEnd"/>
      <w:r w:rsidRPr="00A4651C">
        <w:rPr>
          <w:lang w:val="tr-TR" w:eastAsia="tr-TR"/>
        </w:rPr>
        <w:t xml:space="preserve"> kanama veya </w:t>
      </w:r>
      <w:proofErr w:type="spellStart"/>
      <w:r w:rsidRPr="00A4651C">
        <w:rPr>
          <w:lang w:val="tr-TR" w:eastAsia="tr-TR"/>
        </w:rPr>
        <w:t>perforasyonu</w:t>
      </w:r>
      <w:proofErr w:type="spellEnd"/>
      <w:r w:rsidRPr="00A4651C">
        <w:rPr>
          <w:lang w:val="tr-TR" w:eastAsia="tr-TR"/>
        </w:rPr>
        <w:t xml:space="preserve"> olan hastalarda, aktif veya geçirilmiş tekrarlayan </w:t>
      </w:r>
      <w:proofErr w:type="spellStart"/>
      <w:r w:rsidRPr="00A4651C">
        <w:rPr>
          <w:lang w:val="tr-TR" w:eastAsia="tr-TR"/>
        </w:rPr>
        <w:t>peptik</w:t>
      </w:r>
      <w:proofErr w:type="spellEnd"/>
      <w:r w:rsidRPr="00A4651C">
        <w:rPr>
          <w:lang w:val="tr-TR" w:eastAsia="tr-TR"/>
        </w:rPr>
        <w:t xml:space="preserve"> ülser/</w:t>
      </w:r>
      <w:proofErr w:type="spellStart"/>
      <w:r w:rsidRPr="00A4651C">
        <w:rPr>
          <w:lang w:val="tr-TR" w:eastAsia="tr-TR"/>
        </w:rPr>
        <w:t>hemorajisi</w:t>
      </w:r>
      <w:proofErr w:type="spellEnd"/>
      <w:r w:rsidRPr="00A4651C">
        <w:rPr>
          <w:lang w:val="tr-TR" w:eastAsia="tr-TR"/>
        </w:rPr>
        <w:t xml:space="preserve"> olan hastalarda (iki veya daha fazla kez, ayrı </w:t>
      </w:r>
      <w:proofErr w:type="spellStart"/>
      <w:r w:rsidRPr="00A4651C">
        <w:rPr>
          <w:lang w:val="tr-TR" w:eastAsia="tr-TR"/>
        </w:rPr>
        <w:t>ayrı</w:t>
      </w:r>
      <w:proofErr w:type="spellEnd"/>
      <w:r w:rsidRPr="00A4651C">
        <w:rPr>
          <w:lang w:val="tr-TR" w:eastAsia="tr-TR"/>
        </w:rPr>
        <w:t xml:space="preserve"> kanıtlanmış ülser veya kanama) kontrendikedir.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Şiddetli renal, hepatik yetmezlik ya da şiddetli kalp yetmezliği olanlarda kullanılmamalıdır. </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Gebeliğin son </w:t>
      </w:r>
      <w:proofErr w:type="spellStart"/>
      <w:r w:rsidRPr="00A4651C">
        <w:rPr>
          <w:lang w:val="tr-TR" w:eastAsia="tr-TR"/>
        </w:rPr>
        <w:t>trimesterinde</w:t>
      </w:r>
      <w:proofErr w:type="spellEnd"/>
      <w:r w:rsidRPr="00A4651C">
        <w:rPr>
          <w:lang w:val="tr-TR" w:eastAsia="tr-TR"/>
        </w:rPr>
        <w:t xml:space="preserve"> </w:t>
      </w:r>
      <w:proofErr w:type="spellStart"/>
      <w:r w:rsidRPr="00A4651C">
        <w:rPr>
          <w:lang w:val="tr-TR" w:eastAsia="tr-TR"/>
        </w:rPr>
        <w:t>kontrendikedir</w:t>
      </w:r>
      <w:proofErr w:type="spellEnd"/>
      <w:r w:rsidRPr="00A4651C">
        <w:rPr>
          <w:lang w:val="tr-TR" w:eastAsia="tr-TR"/>
        </w:rPr>
        <w:t>.</w:t>
      </w:r>
    </w:p>
    <w:p w:rsidR="005126D2" w:rsidRPr="00A4651C" w:rsidRDefault="005126D2" w:rsidP="0088131E">
      <w:pPr>
        <w:spacing w:line="276" w:lineRule="auto"/>
        <w:jc w:val="both"/>
      </w:pPr>
    </w:p>
    <w:p w:rsidR="00511D8D" w:rsidRPr="00A4651C" w:rsidRDefault="00511D8D" w:rsidP="0088131E">
      <w:pPr>
        <w:spacing w:line="276" w:lineRule="auto"/>
        <w:jc w:val="both"/>
        <w:rPr>
          <w:b/>
        </w:rPr>
      </w:pPr>
      <w:r w:rsidRPr="00A4651C">
        <w:rPr>
          <w:b/>
        </w:rPr>
        <w:t>4.4. Özel kullanım uyarıları ve önlemleri</w:t>
      </w:r>
    </w:p>
    <w:tbl>
      <w:tblPr>
        <w:tblStyle w:val="TabloKlavuzu"/>
        <w:tblW w:w="0" w:type="auto"/>
        <w:tblLook w:val="04A0"/>
      </w:tblPr>
      <w:tblGrid>
        <w:gridCol w:w="9212"/>
      </w:tblGrid>
      <w:tr w:rsidR="00913080" w:rsidRPr="00A4651C" w:rsidTr="00913080">
        <w:tc>
          <w:tcPr>
            <w:tcW w:w="9212" w:type="dxa"/>
          </w:tcPr>
          <w:p w:rsidR="00913080" w:rsidRPr="00A4651C" w:rsidRDefault="00913080" w:rsidP="00913080">
            <w:pPr>
              <w:spacing w:line="276" w:lineRule="auto"/>
              <w:jc w:val="both"/>
              <w:rPr>
                <w:lang w:val="tr-TR"/>
              </w:rPr>
            </w:pPr>
            <w:r w:rsidRPr="00A4651C">
              <w:rPr>
                <w:lang w:val="tr-TR"/>
              </w:rPr>
              <w:t>Kardiyovasküler (KV) risk</w:t>
            </w:r>
          </w:p>
          <w:p w:rsidR="00913080" w:rsidRPr="00A4651C" w:rsidRDefault="00913080" w:rsidP="00913080">
            <w:pPr>
              <w:pStyle w:val="ListeParagraf"/>
              <w:numPr>
                <w:ilvl w:val="0"/>
                <w:numId w:val="19"/>
              </w:numPr>
              <w:spacing w:line="276" w:lineRule="auto"/>
              <w:ind w:left="284" w:hanging="284"/>
              <w:jc w:val="both"/>
              <w:rPr>
                <w:lang w:val="tr-TR"/>
              </w:rPr>
            </w:pPr>
            <w:proofErr w:type="spellStart"/>
            <w:r w:rsidRPr="00A4651C">
              <w:rPr>
                <w:lang w:val="tr-TR"/>
              </w:rPr>
              <w:t>NSAİİ’ler</w:t>
            </w:r>
            <w:proofErr w:type="spellEnd"/>
            <w:r w:rsidRPr="00A4651C">
              <w:rPr>
                <w:lang w:val="tr-TR"/>
              </w:rPr>
              <w:t xml:space="preserve"> ölümcül olabilecek KV </w:t>
            </w:r>
            <w:proofErr w:type="spellStart"/>
            <w:r w:rsidRPr="00A4651C">
              <w:rPr>
                <w:lang w:val="tr-TR"/>
              </w:rPr>
              <w:t>trombotik</w:t>
            </w:r>
            <w:proofErr w:type="spellEnd"/>
            <w:r w:rsidRPr="00A4651C">
              <w:rPr>
                <w:lang w:val="tr-TR"/>
              </w:rPr>
              <w:t xml:space="preserve"> olaylar, </w:t>
            </w:r>
            <w:proofErr w:type="spellStart"/>
            <w:r w:rsidRPr="00A4651C">
              <w:rPr>
                <w:lang w:val="tr-TR"/>
              </w:rPr>
              <w:t>miyokard</w:t>
            </w:r>
            <w:proofErr w:type="spellEnd"/>
            <w:r w:rsidRPr="00A4651C">
              <w:rPr>
                <w:lang w:val="tr-TR"/>
              </w:rPr>
              <w:t xml:space="preserve"> </w:t>
            </w:r>
            <w:proofErr w:type="spellStart"/>
            <w:r w:rsidRPr="00A4651C">
              <w:rPr>
                <w:lang w:val="tr-TR"/>
              </w:rPr>
              <w:t>infarktüsü</w:t>
            </w:r>
            <w:proofErr w:type="spellEnd"/>
            <w:r w:rsidRPr="00A4651C">
              <w:rPr>
                <w:lang w:val="tr-TR"/>
              </w:rPr>
              <w:t xml:space="preserve"> ve inme riskinde artışa neden olabilir. Bu risk kullanım süresine bağlı olarak artabilir. KV hastalığı olan veya KV hastalık risk faktörlerini taşıyan hastalarda risk daha yüksek olabilir.</w:t>
            </w:r>
          </w:p>
          <w:p w:rsidR="00913080" w:rsidRPr="00A4651C" w:rsidRDefault="00913080" w:rsidP="00913080">
            <w:pPr>
              <w:spacing w:line="276" w:lineRule="auto"/>
              <w:jc w:val="both"/>
              <w:rPr>
                <w:lang w:val="tr-TR"/>
              </w:rPr>
            </w:pPr>
            <w:r w:rsidRPr="00A4651C">
              <w:rPr>
                <w:lang w:val="tr-TR"/>
              </w:rPr>
              <w:t>APRALJİN</w:t>
            </w:r>
            <w:r w:rsidR="00EB7EE3" w:rsidRPr="00A4651C">
              <w:rPr>
                <w:lang w:val="tr-TR"/>
              </w:rPr>
              <w:t xml:space="preserve"> FORTE</w:t>
            </w:r>
            <w:r w:rsidRPr="00A4651C">
              <w:rPr>
                <w:lang w:val="tr-TR"/>
              </w:rPr>
              <w:t xml:space="preserve"> koroner arter </w:t>
            </w:r>
            <w:proofErr w:type="spellStart"/>
            <w:r w:rsidRPr="00A4651C">
              <w:rPr>
                <w:lang w:val="tr-TR"/>
              </w:rPr>
              <w:t>by</w:t>
            </w:r>
            <w:proofErr w:type="spellEnd"/>
            <w:r w:rsidRPr="00A4651C">
              <w:rPr>
                <w:lang w:val="tr-TR"/>
              </w:rPr>
              <w:t>-</w:t>
            </w:r>
            <w:proofErr w:type="spellStart"/>
            <w:r w:rsidRPr="00A4651C">
              <w:rPr>
                <w:lang w:val="tr-TR"/>
              </w:rPr>
              <w:t>pass</w:t>
            </w:r>
            <w:proofErr w:type="spellEnd"/>
            <w:r w:rsidRPr="00A4651C">
              <w:rPr>
                <w:lang w:val="tr-TR"/>
              </w:rPr>
              <w:t xml:space="preserve"> cerrahisi öncesi ağrı tedavisinde kontrendikedir.</w:t>
            </w:r>
          </w:p>
          <w:p w:rsidR="00913080" w:rsidRPr="00A4651C" w:rsidRDefault="00913080" w:rsidP="00913080">
            <w:pPr>
              <w:spacing w:line="276" w:lineRule="auto"/>
              <w:jc w:val="both"/>
              <w:rPr>
                <w:lang w:val="tr-TR"/>
              </w:rPr>
            </w:pPr>
          </w:p>
          <w:p w:rsidR="00913080" w:rsidRPr="00A4651C" w:rsidRDefault="00913080" w:rsidP="00913080">
            <w:pPr>
              <w:spacing w:line="276" w:lineRule="auto"/>
              <w:jc w:val="both"/>
              <w:rPr>
                <w:lang w:val="tr-TR"/>
              </w:rPr>
            </w:pPr>
            <w:r w:rsidRPr="00A4651C">
              <w:rPr>
                <w:lang w:val="tr-TR"/>
              </w:rPr>
              <w:lastRenderedPageBreak/>
              <w:t>Gastrointestinal (GI) riskler</w:t>
            </w:r>
          </w:p>
          <w:p w:rsidR="00913080" w:rsidRPr="00A4651C" w:rsidRDefault="00913080" w:rsidP="00913080">
            <w:pPr>
              <w:spacing w:line="276" w:lineRule="auto"/>
              <w:jc w:val="both"/>
              <w:rPr>
                <w:lang w:val="tr-TR"/>
              </w:rPr>
            </w:pPr>
            <w:proofErr w:type="spellStart"/>
            <w:r w:rsidRPr="00A4651C">
              <w:rPr>
                <w:lang w:val="tr-TR"/>
              </w:rPr>
              <w:t>NSAİİ’ler</w:t>
            </w:r>
            <w:proofErr w:type="spellEnd"/>
            <w:r w:rsidRPr="00A4651C">
              <w:rPr>
                <w:lang w:val="tr-TR"/>
              </w:rPr>
              <w:t xml:space="preserve"> kanama, </w:t>
            </w:r>
            <w:proofErr w:type="spellStart"/>
            <w:r w:rsidRPr="00A4651C">
              <w:rPr>
                <w:lang w:val="tr-TR"/>
              </w:rPr>
              <w:t>ülserasyon</w:t>
            </w:r>
            <w:proofErr w:type="spellEnd"/>
            <w:r w:rsidRPr="00A4651C">
              <w:rPr>
                <w:lang w:val="tr-TR"/>
              </w:rPr>
              <w:t xml:space="preserve">, mide veya bağırsak </w:t>
            </w:r>
            <w:proofErr w:type="spellStart"/>
            <w:r w:rsidRPr="00A4651C">
              <w:rPr>
                <w:lang w:val="tr-TR"/>
              </w:rPr>
              <w:t>perforasyonu</w:t>
            </w:r>
            <w:proofErr w:type="spellEnd"/>
            <w:r w:rsidRPr="00A4651C">
              <w:rPr>
                <w:lang w:val="tr-TR"/>
              </w:rPr>
              <w:t xml:space="preserve"> gibi ölümcül olabilecek ciddi GI advers etkilere yol açarlar. Bu advers olaylar herhangi bir zamanda, önceden uyarıcı bir </w:t>
            </w:r>
            <w:proofErr w:type="gramStart"/>
            <w:r w:rsidRPr="00A4651C">
              <w:rPr>
                <w:lang w:val="tr-TR"/>
              </w:rPr>
              <w:t>semptom</w:t>
            </w:r>
            <w:proofErr w:type="gramEnd"/>
            <w:r w:rsidRPr="00A4651C">
              <w:rPr>
                <w:lang w:val="tr-TR"/>
              </w:rPr>
              <w:t xml:space="preserve"> vererek veya vermeksizin ortaya çıkabilirler.</w:t>
            </w:r>
          </w:p>
          <w:p w:rsidR="00913080" w:rsidRPr="00A4651C" w:rsidRDefault="00913080" w:rsidP="00913080">
            <w:pPr>
              <w:spacing w:line="276" w:lineRule="auto"/>
              <w:jc w:val="both"/>
              <w:rPr>
                <w:lang w:val="tr-TR"/>
              </w:rPr>
            </w:pPr>
            <w:r w:rsidRPr="00A4651C">
              <w:rPr>
                <w:lang w:val="tr-TR"/>
              </w:rPr>
              <w:t>Yaşlı hastalar ciddi GI etkiler bakımından daha yüksek risk taşımaktadırlar.</w:t>
            </w:r>
          </w:p>
        </w:tc>
      </w:tr>
    </w:tbl>
    <w:p w:rsidR="00913080" w:rsidRPr="00A4651C" w:rsidRDefault="00913080"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Uyarılar</w:t>
      </w:r>
    </w:p>
    <w:p w:rsidR="00913080" w:rsidRPr="00A4651C" w:rsidRDefault="00913080" w:rsidP="00913080">
      <w:pPr>
        <w:spacing w:line="276" w:lineRule="auto"/>
        <w:jc w:val="both"/>
        <w:rPr>
          <w:lang w:val="tr-TR"/>
        </w:rPr>
      </w:pPr>
      <w:r w:rsidRPr="00A4651C">
        <w:rPr>
          <w:lang w:val="tr-TR"/>
        </w:rPr>
        <w:t>Alzheimer hastalığı riski olanlarda dikkatli kullanılması gerekmektedir.</w:t>
      </w:r>
    </w:p>
    <w:p w:rsidR="00913080" w:rsidRPr="00A4651C" w:rsidRDefault="00913080"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Kardiyovasküler etkiler</w:t>
      </w:r>
    </w:p>
    <w:p w:rsidR="00FE15CE" w:rsidRPr="00A4651C" w:rsidRDefault="00FE15CE" w:rsidP="00FE15CE">
      <w:pPr>
        <w:spacing w:line="276" w:lineRule="auto"/>
        <w:jc w:val="both"/>
        <w:rPr>
          <w:lang w:val="tr-TR" w:eastAsia="tr-TR"/>
        </w:rPr>
      </w:pPr>
      <w:proofErr w:type="spellStart"/>
      <w:r w:rsidRPr="00A4651C">
        <w:rPr>
          <w:lang w:val="tr-TR" w:eastAsia="tr-TR"/>
        </w:rPr>
        <w:t>Kardiyovasküler</w:t>
      </w:r>
      <w:proofErr w:type="spellEnd"/>
      <w:r w:rsidRPr="00A4651C">
        <w:rPr>
          <w:lang w:val="tr-TR" w:eastAsia="tr-TR"/>
        </w:rPr>
        <w:t xml:space="preserve"> </w:t>
      </w:r>
      <w:proofErr w:type="spellStart"/>
      <w:r w:rsidRPr="00A4651C">
        <w:rPr>
          <w:lang w:val="tr-TR" w:eastAsia="tr-TR"/>
        </w:rPr>
        <w:t>Trombotik</w:t>
      </w:r>
      <w:proofErr w:type="spellEnd"/>
      <w:r w:rsidRPr="00A4651C">
        <w:rPr>
          <w:lang w:val="tr-TR" w:eastAsia="tr-TR"/>
        </w:rPr>
        <w:t xml:space="preserve"> Olaylar</w:t>
      </w:r>
    </w:p>
    <w:p w:rsidR="00FE15CE" w:rsidRPr="00A4651C" w:rsidRDefault="00FE15CE" w:rsidP="00FE15CE">
      <w:pPr>
        <w:spacing w:line="276" w:lineRule="auto"/>
        <w:jc w:val="both"/>
        <w:rPr>
          <w:lang w:val="tr-TR" w:eastAsia="tr-TR"/>
        </w:rPr>
      </w:pPr>
      <w:r w:rsidRPr="00A4651C">
        <w:rPr>
          <w:lang w:val="tr-TR" w:eastAsia="tr-TR"/>
        </w:rPr>
        <w:t xml:space="preserve">Çeşitli COX-2 </w:t>
      </w:r>
      <w:proofErr w:type="spellStart"/>
      <w:r w:rsidRPr="00A4651C">
        <w:rPr>
          <w:lang w:val="tr-TR" w:eastAsia="tr-TR"/>
        </w:rPr>
        <w:t>selektif</w:t>
      </w:r>
      <w:proofErr w:type="spellEnd"/>
      <w:r w:rsidRPr="00A4651C">
        <w:rPr>
          <w:lang w:val="tr-TR" w:eastAsia="tr-TR"/>
        </w:rPr>
        <w:t xml:space="preserve"> ve </w:t>
      </w:r>
      <w:proofErr w:type="spellStart"/>
      <w:r w:rsidRPr="00A4651C">
        <w:rPr>
          <w:lang w:val="tr-TR" w:eastAsia="tr-TR"/>
        </w:rPr>
        <w:t>non</w:t>
      </w:r>
      <w:proofErr w:type="spellEnd"/>
      <w:r w:rsidRPr="00A4651C">
        <w:rPr>
          <w:lang w:val="tr-TR" w:eastAsia="tr-TR"/>
        </w:rPr>
        <w:t>-</w:t>
      </w:r>
      <w:proofErr w:type="spellStart"/>
      <w:r w:rsidRPr="00A4651C">
        <w:rPr>
          <w:lang w:val="tr-TR" w:eastAsia="tr-TR"/>
        </w:rPr>
        <w:t>selektif</w:t>
      </w:r>
      <w:proofErr w:type="spellEnd"/>
      <w:r w:rsidRPr="00A4651C">
        <w:rPr>
          <w:lang w:val="tr-TR" w:eastAsia="tr-TR"/>
        </w:rPr>
        <w:t xml:space="preserve"> </w:t>
      </w:r>
      <w:proofErr w:type="spellStart"/>
      <w:r w:rsidRPr="00A4651C">
        <w:rPr>
          <w:lang w:val="tr-TR" w:eastAsia="tr-TR"/>
        </w:rPr>
        <w:t>NSAİİ’lerin</w:t>
      </w:r>
      <w:proofErr w:type="spellEnd"/>
      <w:r w:rsidRPr="00A4651C">
        <w:rPr>
          <w:lang w:val="tr-TR" w:eastAsia="tr-TR"/>
        </w:rPr>
        <w:t xml:space="preserve"> üç yıl kadar süren klinik çalışmaları, ölümcül olabilen ciddi </w:t>
      </w:r>
      <w:proofErr w:type="spellStart"/>
      <w:r w:rsidRPr="00A4651C">
        <w:rPr>
          <w:lang w:val="tr-TR" w:eastAsia="tr-TR"/>
        </w:rPr>
        <w:t>kardiyovasküler</w:t>
      </w:r>
      <w:proofErr w:type="spellEnd"/>
      <w:r w:rsidRPr="00A4651C">
        <w:rPr>
          <w:lang w:val="tr-TR" w:eastAsia="tr-TR"/>
        </w:rPr>
        <w:t xml:space="preserve"> (KV) </w:t>
      </w:r>
      <w:proofErr w:type="spellStart"/>
      <w:r w:rsidRPr="00A4651C">
        <w:rPr>
          <w:lang w:val="tr-TR" w:eastAsia="tr-TR"/>
        </w:rPr>
        <w:t>trombotik</w:t>
      </w:r>
      <w:proofErr w:type="spellEnd"/>
      <w:r w:rsidRPr="00A4651C">
        <w:rPr>
          <w:lang w:val="tr-TR" w:eastAsia="tr-TR"/>
        </w:rPr>
        <w:t xml:space="preserve"> olay, </w:t>
      </w:r>
      <w:proofErr w:type="spellStart"/>
      <w:r w:rsidRPr="00A4651C">
        <w:rPr>
          <w:lang w:val="tr-TR" w:eastAsia="tr-TR"/>
        </w:rPr>
        <w:t>miyokard</w:t>
      </w:r>
      <w:proofErr w:type="spellEnd"/>
      <w:r w:rsidRPr="00A4651C">
        <w:rPr>
          <w:lang w:val="tr-TR" w:eastAsia="tr-TR"/>
        </w:rPr>
        <w:t xml:space="preserve"> </w:t>
      </w:r>
      <w:proofErr w:type="spellStart"/>
      <w:r w:rsidRPr="00A4651C">
        <w:rPr>
          <w:lang w:val="tr-TR" w:eastAsia="tr-TR"/>
        </w:rPr>
        <w:t>infarktüsü</w:t>
      </w:r>
      <w:proofErr w:type="spellEnd"/>
      <w:r w:rsidRPr="00A4651C">
        <w:rPr>
          <w:lang w:val="tr-TR" w:eastAsia="tr-TR"/>
        </w:rPr>
        <w:t xml:space="preserve"> ve inme riskinin arttığını göstermiştir. COX-2 </w:t>
      </w:r>
      <w:proofErr w:type="spellStart"/>
      <w:r w:rsidRPr="00A4651C">
        <w:rPr>
          <w:lang w:val="tr-TR" w:eastAsia="tr-TR"/>
        </w:rPr>
        <w:t>selektif</w:t>
      </w:r>
      <w:proofErr w:type="spellEnd"/>
      <w:r w:rsidRPr="00A4651C">
        <w:rPr>
          <w:lang w:val="tr-TR" w:eastAsia="tr-TR"/>
        </w:rPr>
        <w:t xml:space="preserve"> veya </w:t>
      </w:r>
      <w:proofErr w:type="spellStart"/>
      <w:r w:rsidRPr="00A4651C">
        <w:rPr>
          <w:lang w:val="tr-TR" w:eastAsia="tr-TR"/>
        </w:rPr>
        <w:t>non</w:t>
      </w:r>
      <w:proofErr w:type="spellEnd"/>
      <w:r w:rsidRPr="00A4651C">
        <w:rPr>
          <w:lang w:val="tr-TR" w:eastAsia="tr-TR"/>
        </w:rPr>
        <w:t>-</w:t>
      </w:r>
      <w:proofErr w:type="spellStart"/>
      <w:r w:rsidRPr="00A4651C">
        <w:rPr>
          <w:lang w:val="tr-TR" w:eastAsia="tr-TR"/>
        </w:rPr>
        <w:t>selektif</w:t>
      </w:r>
      <w:proofErr w:type="spellEnd"/>
      <w:r w:rsidRPr="00A4651C">
        <w:rPr>
          <w:lang w:val="tr-TR" w:eastAsia="tr-TR"/>
        </w:rPr>
        <w:t xml:space="preserve"> tüm </w:t>
      </w:r>
      <w:proofErr w:type="spellStart"/>
      <w:r w:rsidRPr="00A4651C">
        <w:rPr>
          <w:lang w:val="tr-TR" w:eastAsia="tr-TR"/>
        </w:rPr>
        <w:t>NSAİİ’ler</w:t>
      </w:r>
      <w:proofErr w:type="spellEnd"/>
      <w:r w:rsidRPr="00A4651C">
        <w:rPr>
          <w:lang w:val="tr-TR" w:eastAsia="tr-TR"/>
        </w:rPr>
        <w:t xml:space="preserve"> benzer risklere sahip olabilir. KV hastalığı veya KV risk faktörleri olduğu bilinen hastalar, daha fazla risk altındadır. NSAİİ ile tedavi edilen hastalarda potansiyel KV riskinin en aza indirilmesi için, en düşük etkili doz olası en kısa süreyle kullanılmalıdır. Hekimler ve hastalar daha önceden KV </w:t>
      </w:r>
      <w:proofErr w:type="gramStart"/>
      <w:r w:rsidRPr="00A4651C">
        <w:rPr>
          <w:lang w:val="tr-TR" w:eastAsia="tr-TR"/>
        </w:rPr>
        <w:t>semptomlar</w:t>
      </w:r>
      <w:proofErr w:type="gramEnd"/>
      <w:r w:rsidRPr="00A4651C">
        <w:rPr>
          <w:lang w:val="tr-TR" w:eastAsia="tr-TR"/>
        </w:rPr>
        <w:t xml:space="preserve"> olmasa dahi bu tür semptomlara karşı hazırlıklı olmalıdır. Hastalar ciddi KV belirti ve/veya bulgular ve bunlar ortaya çıktığı takdirde yapılacaklar hakkında bilgilendirilmelidirler.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Birlikte aspirin kullanımının, NSAİİ kullanımı ile ilişkili ciddi KV </w:t>
      </w:r>
      <w:proofErr w:type="spellStart"/>
      <w:r w:rsidRPr="00A4651C">
        <w:rPr>
          <w:lang w:val="tr-TR" w:eastAsia="tr-TR"/>
        </w:rPr>
        <w:t>trombotik</w:t>
      </w:r>
      <w:proofErr w:type="spellEnd"/>
      <w:r w:rsidRPr="00A4651C">
        <w:rPr>
          <w:lang w:val="tr-TR" w:eastAsia="tr-TR"/>
        </w:rPr>
        <w:t xml:space="preserve"> olay riskindeki artışı azalttığına dair tutarlı kanıtlar yoktur. Aspirin ve </w:t>
      </w:r>
      <w:proofErr w:type="spellStart"/>
      <w:r w:rsidRPr="00A4651C">
        <w:rPr>
          <w:lang w:val="tr-TR" w:eastAsia="tr-TR"/>
        </w:rPr>
        <w:t>NSAİİ’lerin</w:t>
      </w:r>
      <w:proofErr w:type="spellEnd"/>
      <w:r w:rsidRPr="00A4651C">
        <w:rPr>
          <w:lang w:val="tr-TR" w:eastAsia="tr-TR"/>
        </w:rPr>
        <w:t xml:space="preserve"> birlikte kullanımı ciddi gastrointestinal (Gİ) olayların gelişme riskini artırmaktadır. (bakınız, bölüm </w:t>
      </w:r>
      <w:proofErr w:type="gramStart"/>
      <w:r w:rsidRPr="00A4651C">
        <w:rPr>
          <w:lang w:val="tr-TR" w:eastAsia="tr-TR"/>
        </w:rPr>
        <w:t>4.4</w:t>
      </w:r>
      <w:proofErr w:type="gramEnd"/>
      <w:r w:rsidRPr="00A4651C">
        <w:rPr>
          <w:lang w:val="tr-TR" w:eastAsia="tr-TR"/>
        </w:rPr>
        <w:t xml:space="preserve"> Özel kullanım uyarıları ve önlemleri)</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COX-2 </w:t>
      </w:r>
      <w:proofErr w:type="spellStart"/>
      <w:r w:rsidRPr="00A4651C">
        <w:rPr>
          <w:lang w:val="tr-TR" w:eastAsia="tr-TR"/>
        </w:rPr>
        <w:t>selektif</w:t>
      </w:r>
      <w:proofErr w:type="spellEnd"/>
      <w:r w:rsidRPr="00A4651C">
        <w:rPr>
          <w:lang w:val="tr-TR" w:eastAsia="tr-TR"/>
        </w:rPr>
        <w:t xml:space="preserve"> </w:t>
      </w:r>
      <w:proofErr w:type="spellStart"/>
      <w:r w:rsidRPr="00A4651C">
        <w:rPr>
          <w:lang w:val="tr-TR" w:eastAsia="tr-TR"/>
        </w:rPr>
        <w:t>NSAİİ’nin</w:t>
      </w:r>
      <w:proofErr w:type="spellEnd"/>
      <w:r w:rsidRPr="00A4651C">
        <w:rPr>
          <w:lang w:val="tr-TR" w:eastAsia="tr-TR"/>
        </w:rPr>
        <w:t xml:space="preserve"> KABG cerrahisinden sonra ilk 10-14 gündeki ağrı tedavisine ait iki geniş, kontrollü klinik çalışmada </w:t>
      </w:r>
      <w:proofErr w:type="spellStart"/>
      <w:r w:rsidRPr="00A4651C">
        <w:rPr>
          <w:lang w:val="tr-TR" w:eastAsia="tr-TR"/>
        </w:rPr>
        <w:t>miyokard</w:t>
      </w:r>
      <w:proofErr w:type="spellEnd"/>
      <w:r w:rsidRPr="00A4651C">
        <w:rPr>
          <w:lang w:val="tr-TR" w:eastAsia="tr-TR"/>
        </w:rPr>
        <w:t xml:space="preserve"> </w:t>
      </w:r>
      <w:proofErr w:type="spellStart"/>
      <w:r w:rsidRPr="00A4651C">
        <w:rPr>
          <w:lang w:val="tr-TR" w:eastAsia="tr-TR"/>
        </w:rPr>
        <w:t>infarktüsü</w:t>
      </w:r>
      <w:proofErr w:type="spellEnd"/>
      <w:r w:rsidRPr="00A4651C">
        <w:rPr>
          <w:lang w:val="tr-TR" w:eastAsia="tr-TR"/>
        </w:rPr>
        <w:t xml:space="preserve"> ve inme </w:t>
      </w:r>
      <w:proofErr w:type="spellStart"/>
      <w:r w:rsidRPr="00A4651C">
        <w:rPr>
          <w:lang w:val="tr-TR" w:eastAsia="tr-TR"/>
        </w:rPr>
        <w:t>insidansının</w:t>
      </w:r>
      <w:proofErr w:type="spellEnd"/>
      <w:r w:rsidRPr="00A4651C">
        <w:rPr>
          <w:lang w:val="tr-TR" w:eastAsia="tr-TR"/>
        </w:rPr>
        <w:t xml:space="preserve"> arttığı bulunmuştur. (bakınız, bölüm </w:t>
      </w:r>
      <w:proofErr w:type="gramStart"/>
      <w:r w:rsidRPr="00A4651C">
        <w:rPr>
          <w:lang w:val="tr-TR" w:eastAsia="tr-TR"/>
        </w:rPr>
        <w:t>4.3</w:t>
      </w:r>
      <w:proofErr w:type="gramEnd"/>
      <w:r w:rsidRPr="00A4651C">
        <w:rPr>
          <w:lang w:val="tr-TR" w:eastAsia="tr-TR"/>
        </w:rPr>
        <w:t>. Kontrendikasyonlar)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Hipertansiyon</w:t>
      </w:r>
    </w:p>
    <w:p w:rsidR="00FE15CE" w:rsidRPr="00A4651C" w:rsidRDefault="00FE15CE" w:rsidP="00FE15CE">
      <w:pPr>
        <w:spacing w:line="276" w:lineRule="auto"/>
        <w:jc w:val="both"/>
        <w:rPr>
          <w:lang w:val="tr-TR" w:eastAsia="tr-TR"/>
        </w:rPr>
      </w:pPr>
      <w:r w:rsidRPr="00A4651C">
        <w:rPr>
          <w:lang w:val="tr-TR" w:eastAsia="tr-TR"/>
        </w:rPr>
        <w:t xml:space="preserve">APRALJİN </w:t>
      </w:r>
      <w:proofErr w:type="spellStart"/>
      <w:r w:rsidRPr="00A4651C">
        <w:rPr>
          <w:lang w:val="tr-TR" w:eastAsia="tr-TR"/>
        </w:rPr>
        <w:t>FORTE’</w:t>
      </w:r>
      <w:r w:rsidR="00CF4EDE" w:rsidRPr="00A4651C">
        <w:rPr>
          <w:lang w:val="tr-TR" w:eastAsia="tr-TR"/>
        </w:rPr>
        <w:t>u</w:t>
      </w:r>
      <w:r w:rsidRPr="00A4651C">
        <w:rPr>
          <w:lang w:val="tr-TR" w:eastAsia="tr-TR"/>
        </w:rPr>
        <w:t>n</w:t>
      </w:r>
      <w:proofErr w:type="spellEnd"/>
      <w:r w:rsidRPr="00A4651C">
        <w:rPr>
          <w:lang w:val="tr-TR" w:eastAsia="tr-TR"/>
        </w:rPr>
        <w:t xml:space="preserve"> </w:t>
      </w:r>
      <w:proofErr w:type="gramStart"/>
      <w:r w:rsidRPr="00A4651C">
        <w:rPr>
          <w:lang w:val="tr-TR" w:eastAsia="tr-TR"/>
        </w:rPr>
        <w:t>dahil</w:t>
      </w:r>
      <w:proofErr w:type="gramEnd"/>
      <w:r w:rsidRPr="00A4651C">
        <w:rPr>
          <w:lang w:val="tr-TR" w:eastAsia="tr-TR"/>
        </w:rPr>
        <w:t xml:space="preserve"> olduğu </w:t>
      </w:r>
      <w:proofErr w:type="spellStart"/>
      <w:r w:rsidRPr="00A4651C">
        <w:rPr>
          <w:lang w:val="tr-TR" w:eastAsia="tr-TR"/>
        </w:rPr>
        <w:t>NSAİİ’ler</w:t>
      </w:r>
      <w:proofErr w:type="spellEnd"/>
      <w:r w:rsidRPr="00A4651C">
        <w:rPr>
          <w:lang w:val="tr-TR" w:eastAsia="tr-TR"/>
        </w:rPr>
        <w:t xml:space="preserve"> yeni hipertansiyon gelişimine veya var olan hipertansiyonun kötüleşmesine neden olurlar ve bu rahatsızlıkların her biri KV olay riskinin artmasına katkıda bulunabilmektedir. NSAİİ kullanırken, </w:t>
      </w:r>
      <w:proofErr w:type="spellStart"/>
      <w:r w:rsidRPr="00A4651C">
        <w:rPr>
          <w:lang w:val="tr-TR" w:eastAsia="tr-TR"/>
        </w:rPr>
        <w:t>tiyazid</w:t>
      </w:r>
      <w:proofErr w:type="spellEnd"/>
      <w:r w:rsidRPr="00A4651C">
        <w:rPr>
          <w:lang w:val="tr-TR" w:eastAsia="tr-TR"/>
        </w:rPr>
        <w:t xml:space="preserve"> veya </w:t>
      </w:r>
      <w:proofErr w:type="spellStart"/>
      <w:r w:rsidRPr="00A4651C">
        <w:rPr>
          <w:lang w:val="tr-TR" w:eastAsia="tr-TR"/>
        </w:rPr>
        <w:t>loop</w:t>
      </w:r>
      <w:proofErr w:type="spellEnd"/>
      <w:r w:rsidRPr="00A4651C">
        <w:rPr>
          <w:lang w:val="tr-TR" w:eastAsia="tr-TR"/>
        </w:rPr>
        <w:t xml:space="preserve"> </w:t>
      </w:r>
      <w:proofErr w:type="spellStart"/>
      <w:r w:rsidRPr="00A4651C">
        <w:rPr>
          <w:lang w:val="tr-TR" w:eastAsia="tr-TR"/>
        </w:rPr>
        <w:t>diüretikleri</w:t>
      </w:r>
      <w:proofErr w:type="spellEnd"/>
      <w:r w:rsidRPr="00A4651C">
        <w:rPr>
          <w:lang w:val="tr-TR" w:eastAsia="tr-TR"/>
        </w:rPr>
        <w:t xml:space="preserve"> kullanan hastalarda, bu </w:t>
      </w:r>
      <w:proofErr w:type="spellStart"/>
      <w:r w:rsidRPr="00A4651C">
        <w:rPr>
          <w:lang w:val="tr-TR" w:eastAsia="tr-TR"/>
        </w:rPr>
        <w:t>terapötiklere</w:t>
      </w:r>
      <w:proofErr w:type="spellEnd"/>
      <w:r w:rsidRPr="00A4651C">
        <w:rPr>
          <w:lang w:val="tr-TR" w:eastAsia="tr-TR"/>
        </w:rPr>
        <w:t xml:space="preserve"> karşı verilen yanıt bozulabilir. </w:t>
      </w:r>
      <w:r w:rsidR="00CF4EDE" w:rsidRPr="00A4651C">
        <w:rPr>
          <w:lang w:val="tr-TR" w:eastAsia="tr-TR"/>
        </w:rPr>
        <w:t xml:space="preserve">APRALJİN </w:t>
      </w:r>
      <w:proofErr w:type="spellStart"/>
      <w:r w:rsidR="00CF4EDE" w:rsidRPr="00A4651C">
        <w:rPr>
          <w:lang w:val="tr-TR" w:eastAsia="tr-TR"/>
        </w:rPr>
        <w:t>FORTE’un</w:t>
      </w:r>
      <w:proofErr w:type="spellEnd"/>
      <w:r w:rsidRPr="00A4651C">
        <w:rPr>
          <w:lang w:val="tr-TR" w:eastAsia="tr-TR"/>
        </w:rPr>
        <w:t xml:space="preserve"> </w:t>
      </w:r>
      <w:proofErr w:type="gramStart"/>
      <w:r w:rsidRPr="00A4651C">
        <w:rPr>
          <w:lang w:val="tr-TR" w:eastAsia="tr-TR"/>
        </w:rPr>
        <w:t>dahil</w:t>
      </w:r>
      <w:proofErr w:type="gramEnd"/>
      <w:r w:rsidRPr="00A4651C">
        <w:rPr>
          <w:lang w:val="tr-TR" w:eastAsia="tr-TR"/>
        </w:rPr>
        <w:t xml:space="preserve"> olduğu </w:t>
      </w:r>
      <w:proofErr w:type="spellStart"/>
      <w:r w:rsidRPr="00A4651C">
        <w:rPr>
          <w:lang w:val="tr-TR" w:eastAsia="tr-TR"/>
        </w:rPr>
        <w:t>NSAİİ’ler</w:t>
      </w:r>
      <w:proofErr w:type="spellEnd"/>
      <w:r w:rsidRPr="00A4651C">
        <w:rPr>
          <w:lang w:val="tr-TR" w:eastAsia="tr-TR"/>
        </w:rPr>
        <w:t xml:space="preserve"> hipertansiyonu olan hastalarda dikkatli kullanılmalıdır. NSAİİ tedavisine başlanırken ve tedavi süresince, kan basıncı (KB) yakından izlenmelidir.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Konjestif Kalp Yetmezliği ve Ödem</w:t>
      </w:r>
    </w:p>
    <w:p w:rsidR="00FE15CE" w:rsidRPr="00A4651C" w:rsidRDefault="00FE15CE" w:rsidP="00FE15CE">
      <w:pPr>
        <w:spacing w:line="276" w:lineRule="auto"/>
        <w:jc w:val="both"/>
        <w:rPr>
          <w:lang w:val="tr-TR" w:eastAsia="tr-TR"/>
        </w:rPr>
      </w:pPr>
      <w:proofErr w:type="spellStart"/>
      <w:r w:rsidRPr="00A4651C">
        <w:rPr>
          <w:lang w:val="tr-TR" w:eastAsia="tr-TR"/>
        </w:rPr>
        <w:t>NSAİİ’leri</w:t>
      </w:r>
      <w:proofErr w:type="spellEnd"/>
      <w:r w:rsidRPr="00A4651C">
        <w:rPr>
          <w:lang w:val="tr-TR" w:eastAsia="tr-TR"/>
        </w:rPr>
        <w:t xml:space="preserve"> alan bazı hastalarda, sıvı tutulması ve ödem gözlenmiştir. APRALJİN FORTE, sıvı tutulması veya kalp yetmezliği olan hastalarda dikkatli kullanılmalıdır.</w:t>
      </w:r>
    </w:p>
    <w:p w:rsidR="00FE15CE" w:rsidRPr="00A4651C" w:rsidRDefault="00FE15CE" w:rsidP="00FE15CE">
      <w:pPr>
        <w:spacing w:line="276" w:lineRule="auto"/>
        <w:jc w:val="both"/>
        <w:rPr>
          <w:lang w:val="tr-TR" w:eastAsia="tr-TR"/>
        </w:rPr>
      </w:pPr>
    </w:p>
    <w:p w:rsidR="00913080" w:rsidRPr="00A4651C" w:rsidRDefault="00913080" w:rsidP="00913080">
      <w:pPr>
        <w:spacing w:line="276" w:lineRule="auto"/>
        <w:jc w:val="both"/>
        <w:rPr>
          <w:lang w:val="tr-TR"/>
        </w:rPr>
      </w:pPr>
      <w:r w:rsidRPr="00A4651C">
        <w:rPr>
          <w:lang w:val="tr-TR"/>
        </w:rPr>
        <w:t xml:space="preserve">Kalp yetmezliği, kalp fonksiyon bozukluğu, karaciğer fonksiyon bozukluğu ve hipertansiyon da </w:t>
      </w:r>
      <w:proofErr w:type="gramStart"/>
      <w:r w:rsidRPr="00A4651C">
        <w:rPr>
          <w:lang w:val="tr-TR"/>
        </w:rPr>
        <w:t>dahil</w:t>
      </w:r>
      <w:proofErr w:type="gramEnd"/>
      <w:r w:rsidRPr="00A4651C">
        <w:rPr>
          <w:lang w:val="tr-TR"/>
        </w:rPr>
        <w:t xml:space="preserve"> olmak üzere sodyum kısıtlamasının söz konusu olduğu hastalarda kullanılırken dikkatli olunmalıdır. 10 günden sonraki kullanımlarda bu risklerde artış olmaktadır.</w:t>
      </w:r>
    </w:p>
    <w:p w:rsidR="00913080" w:rsidRPr="00A4651C" w:rsidRDefault="00913080"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Gastrointestinal</w:t>
      </w:r>
      <w:proofErr w:type="spellEnd"/>
      <w:r w:rsidRPr="00A4651C">
        <w:rPr>
          <w:lang w:val="tr-TR" w:eastAsia="tr-TR"/>
        </w:rPr>
        <w:t xml:space="preserve"> Etkiler - </w:t>
      </w:r>
      <w:proofErr w:type="spellStart"/>
      <w:r w:rsidRPr="00A4651C">
        <w:rPr>
          <w:lang w:val="tr-TR" w:eastAsia="tr-TR"/>
        </w:rPr>
        <w:t>Ülserasyon</w:t>
      </w:r>
      <w:proofErr w:type="spellEnd"/>
      <w:r w:rsidRPr="00A4651C">
        <w:rPr>
          <w:lang w:val="tr-TR" w:eastAsia="tr-TR"/>
        </w:rPr>
        <w:t xml:space="preserve">, Kanama ve </w:t>
      </w:r>
      <w:proofErr w:type="spellStart"/>
      <w:r w:rsidRPr="00A4651C">
        <w:rPr>
          <w:lang w:val="tr-TR" w:eastAsia="tr-TR"/>
        </w:rPr>
        <w:t>Perforasyon</w:t>
      </w:r>
      <w:proofErr w:type="spellEnd"/>
      <w:r w:rsidRPr="00A4651C">
        <w:rPr>
          <w:lang w:val="tr-TR" w:eastAsia="tr-TR"/>
        </w:rPr>
        <w:t xml:space="preserve"> Riski:</w:t>
      </w:r>
    </w:p>
    <w:p w:rsidR="00FE15CE" w:rsidRPr="00A4651C" w:rsidRDefault="00CF4EDE" w:rsidP="00FE15CE">
      <w:pPr>
        <w:spacing w:line="276" w:lineRule="auto"/>
        <w:jc w:val="both"/>
        <w:rPr>
          <w:lang w:val="tr-TR" w:eastAsia="tr-TR"/>
        </w:rPr>
      </w:pPr>
      <w:r w:rsidRPr="00A4651C">
        <w:rPr>
          <w:lang w:val="tr-TR" w:eastAsia="tr-TR"/>
        </w:rPr>
        <w:t xml:space="preserve">APRALJİN </w:t>
      </w:r>
      <w:proofErr w:type="spellStart"/>
      <w:r w:rsidRPr="00A4651C">
        <w:rPr>
          <w:lang w:val="tr-TR" w:eastAsia="tr-TR"/>
        </w:rPr>
        <w:t>FORTE’un</w:t>
      </w:r>
      <w:proofErr w:type="spellEnd"/>
      <w:r w:rsidR="00FE15CE" w:rsidRPr="00A4651C">
        <w:rPr>
          <w:lang w:val="tr-TR" w:eastAsia="tr-TR"/>
        </w:rPr>
        <w:t xml:space="preserve"> </w:t>
      </w:r>
      <w:proofErr w:type="gramStart"/>
      <w:r w:rsidR="00FE15CE" w:rsidRPr="00A4651C">
        <w:rPr>
          <w:lang w:val="tr-TR" w:eastAsia="tr-TR"/>
        </w:rPr>
        <w:t>dahil</w:t>
      </w:r>
      <w:proofErr w:type="gramEnd"/>
      <w:r w:rsidR="00FE15CE" w:rsidRPr="00A4651C">
        <w:rPr>
          <w:lang w:val="tr-TR" w:eastAsia="tr-TR"/>
        </w:rPr>
        <w:t xml:space="preserve"> olduğu </w:t>
      </w:r>
      <w:proofErr w:type="spellStart"/>
      <w:r w:rsidR="00FE15CE" w:rsidRPr="00A4651C">
        <w:rPr>
          <w:lang w:val="tr-TR" w:eastAsia="tr-TR"/>
        </w:rPr>
        <w:t>NSAİİ’ler</w:t>
      </w:r>
      <w:proofErr w:type="spellEnd"/>
      <w:r w:rsidR="00FE15CE" w:rsidRPr="00A4651C">
        <w:rPr>
          <w:lang w:val="tr-TR" w:eastAsia="tr-TR"/>
        </w:rPr>
        <w:t xml:space="preserve">, ölümcül olabilen </w:t>
      </w:r>
      <w:proofErr w:type="spellStart"/>
      <w:r w:rsidR="00FE15CE" w:rsidRPr="00A4651C">
        <w:rPr>
          <w:lang w:val="tr-TR" w:eastAsia="tr-TR"/>
        </w:rPr>
        <w:t>enflamasyon</w:t>
      </w:r>
      <w:proofErr w:type="spellEnd"/>
      <w:r w:rsidR="00FE15CE" w:rsidRPr="00A4651C">
        <w:rPr>
          <w:lang w:val="tr-TR" w:eastAsia="tr-TR"/>
        </w:rPr>
        <w:t xml:space="preserve">, kanama, </w:t>
      </w:r>
      <w:proofErr w:type="spellStart"/>
      <w:r w:rsidR="00FE15CE" w:rsidRPr="00A4651C">
        <w:rPr>
          <w:lang w:val="tr-TR" w:eastAsia="tr-TR"/>
        </w:rPr>
        <w:t>ülserasyon</w:t>
      </w:r>
      <w:proofErr w:type="spellEnd"/>
      <w:r w:rsidR="00FE15CE" w:rsidRPr="00A4651C">
        <w:rPr>
          <w:lang w:val="tr-TR" w:eastAsia="tr-TR"/>
        </w:rPr>
        <w:t xml:space="preserve">, mide, ince ve kalın barsak </w:t>
      </w:r>
      <w:proofErr w:type="spellStart"/>
      <w:r w:rsidR="00FE15CE" w:rsidRPr="00A4651C">
        <w:rPr>
          <w:lang w:val="tr-TR" w:eastAsia="tr-TR"/>
        </w:rPr>
        <w:t>perforasyonu</w:t>
      </w:r>
      <w:proofErr w:type="spellEnd"/>
      <w:r w:rsidR="00FE15CE" w:rsidRPr="00A4651C">
        <w:rPr>
          <w:lang w:val="tr-TR" w:eastAsia="tr-TR"/>
        </w:rPr>
        <w:t xml:space="preserve"> gibi ciddi </w:t>
      </w:r>
      <w:proofErr w:type="spellStart"/>
      <w:r w:rsidR="00FE15CE" w:rsidRPr="00A4651C">
        <w:rPr>
          <w:lang w:val="tr-TR" w:eastAsia="tr-TR"/>
        </w:rPr>
        <w:t>gastrointestinal</w:t>
      </w:r>
      <w:proofErr w:type="spellEnd"/>
      <w:r w:rsidR="00FE15CE" w:rsidRPr="00A4651C">
        <w:rPr>
          <w:lang w:val="tr-TR" w:eastAsia="tr-TR"/>
        </w:rPr>
        <w:t xml:space="preserve"> (Gİ) advers olaylara neden olabilirler. Bu ciddi </w:t>
      </w:r>
      <w:proofErr w:type="spellStart"/>
      <w:r w:rsidR="00FE15CE" w:rsidRPr="00A4651C">
        <w:rPr>
          <w:lang w:val="tr-TR" w:eastAsia="tr-TR"/>
        </w:rPr>
        <w:t>advers</w:t>
      </w:r>
      <w:proofErr w:type="spellEnd"/>
      <w:r w:rsidR="00FE15CE" w:rsidRPr="00A4651C">
        <w:rPr>
          <w:lang w:val="tr-TR" w:eastAsia="tr-TR"/>
        </w:rPr>
        <w:t xml:space="preserve"> olaylar </w:t>
      </w:r>
      <w:proofErr w:type="spellStart"/>
      <w:r w:rsidR="00FE15CE" w:rsidRPr="00A4651C">
        <w:rPr>
          <w:lang w:val="tr-TR" w:eastAsia="tr-TR"/>
        </w:rPr>
        <w:t>NSAİİ’ler</w:t>
      </w:r>
      <w:proofErr w:type="spellEnd"/>
      <w:r w:rsidR="00FE15CE" w:rsidRPr="00A4651C">
        <w:rPr>
          <w:lang w:val="tr-TR" w:eastAsia="tr-TR"/>
        </w:rPr>
        <w:t xml:space="preserve"> ile tedavi edilen hastalarda herhangi bir uyarıcı </w:t>
      </w:r>
      <w:proofErr w:type="gramStart"/>
      <w:r w:rsidR="00FE15CE" w:rsidRPr="00A4651C">
        <w:rPr>
          <w:lang w:val="tr-TR" w:eastAsia="tr-TR"/>
        </w:rPr>
        <w:t>semptom</w:t>
      </w:r>
      <w:proofErr w:type="gramEnd"/>
      <w:r w:rsidR="00FE15CE" w:rsidRPr="00A4651C">
        <w:rPr>
          <w:lang w:val="tr-TR" w:eastAsia="tr-TR"/>
        </w:rPr>
        <w:t xml:space="preserve"> olmadan veya uyarıcı semptomla birlikte, herhangi bir zamanda gelişebilirler. NSAİİ tedavisi sırasında üst Gİ kanalda ciddi advers olay gelişen beş hastadan yalnızca biri </w:t>
      </w:r>
      <w:proofErr w:type="spellStart"/>
      <w:r w:rsidR="00FE15CE" w:rsidRPr="00A4651C">
        <w:rPr>
          <w:lang w:val="tr-TR" w:eastAsia="tr-TR"/>
        </w:rPr>
        <w:t>semptomatiktir</w:t>
      </w:r>
      <w:proofErr w:type="spellEnd"/>
      <w:r w:rsidR="00FE15CE" w:rsidRPr="00A4651C">
        <w:rPr>
          <w:lang w:val="tr-TR" w:eastAsia="tr-TR"/>
        </w:rPr>
        <w:t xml:space="preserve">. </w:t>
      </w:r>
      <w:proofErr w:type="spellStart"/>
      <w:r w:rsidR="00FE15CE" w:rsidRPr="00A4651C">
        <w:rPr>
          <w:lang w:val="tr-TR" w:eastAsia="tr-TR"/>
        </w:rPr>
        <w:t>NSAİİ’lerin</w:t>
      </w:r>
      <w:proofErr w:type="spellEnd"/>
      <w:r w:rsidR="00FE15CE" w:rsidRPr="00A4651C">
        <w:rPr>
          <w:lang w:val="tr-TR" w:eastAsia="tr-TR"/>
        </w:rPr>
        <w:t xml:space="preserve"> neden olduğu üst Gİ kanal ülserleri, yoğun kanama ve perforasyon 3 ila 6 ay tedavi uygulanan hastaların yaklaşık % 1’inde ve 1 yıl tedavi olan hastalarda yaklaşık % 2-4’ünde ortaya çıkmaktadır. Bu eğilim uzun süreli kullanımda devam etmektedir ve tedavinin herhangi bir anında ciddi Gİ olay gelişme olasılığını artırmaktadır. Ancak kısa süreli tedavi bile risksiz değildir.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önceden ülser veya gastrointestinal kanama </w:t>
      </w:r>
      <w:proofErr w:type="gramStart"/>
      <w:r w:rsidRPr="00A4651C">
        <w:rPr>
          <w:lang w:val="tr-TR" w:eastAsia="tr-TR"/>
        </w:rPr>
        <w:t>hikayesi</w:t>
      </w:r>
      <w:proofErr w:type="gramEnd"/>
      <w:r w:rsidRPr="00A4651C">
        <w:rPr>
          <w:lang w:val="tr-TR" w:eastAsia="tr-TR"/>
        </w:rPr>
        <w:t xml:space="preserve"> olan hastalarda çok dikkatli </w:t>
      </w:r>
      <w:proofErr w:type="spellStart"/>
      <w:r w:rsidRPr="00A4651C">
        <w:rPr>
          <w:lang w:val="tr-TR" w:eastAsia="tr-TR"/>
        </w:rPr>
        <w:t>reçetelenmelidir</w:t>
      </w:r>
      <w:proofErr w:type="spellEnd"/>
      <w:r w:rsidRPr="00A4651C">
        <w:rPr>
          <w:lang w:val="tr-TR" w:eastAsia="tr-TR"/>
        </w:rPr>
        <w:t xml:space="preserve">. Önceden </w:t>
      </w:r>
      <w:proofErr w:type="spellStart"/>
      <w:r w:rsidRPr="00A4651C">
        <w:rPr>
          <w:lang w:val="tr-TR" w:eastAsia="tr-TR"/>
        </w:rPr>
        <w:t>peptik</w:t>
      </w:r>
      <w:proofErr w:type="spellEnd"/>
      <w:r w:rsidRPr="00A4651C">
        <w:rPr>
          <w:lang w:val="tr-TR" w:eastAsia="tr-TR"/>
        </w:rPr>
        <w:t xml:space="preserve"> ülser ve/veya </w:t>
      </w:r>
      <w:proofErr w:type="spellStart"/>
      <w:r w:rsidRPr="00A4651C">
        <w:rPr>
          <w:lang w:val="tr-TR" w:eastAsia="tr-TR"/>
        </w:rPr>
        <w:t>gastrointestinal</w:t>
      </w:r>
      <w:proofErr w:type="spellEnd"/>
      <w:r w:rsidRPr="00A4651C">
        <w:rPr>
          <w:lang w:val="tr-TR" w:eastAsia="tr-TR"/>
        </w:rPr>
        <w:t xml:space="preserve"> kanama öyküsü olan ve NSAİİ kullanan hastalarda, Gİ kanama riski bu risk faktörleri olmayan hastalara göre 10 kat artmıştır. NSAİİ ile tedavi edilen hastalarda, Gİ kanama riskini artıran diğer faktörler, beraberinde oral </w:t>
      </w:r>
      <w:proofErr w:type="spellStart"/>
      <w:r w:rsidRPr="00A4651C">
        <w:rPr>
          <w:lang w:val="tr-TR" w:eastAsia="tr-TR"/>
        </w:rPr>
        <w:t>kortikosteroid</w:t>
      </w:r>
      <w:proofErr w:type="spellEnd"/>
      <w:r w:rsidRPr="00A4651C">
        <w:rPr>
          <w:lang w:val="tr-TR" w:eastAsia="tr-TR"/>
        </w:rPr>
        <w:t xml:space="preserve"> veya anti-</w:t>
      </w:r>
      <w:proofErr w:type="spellStart"/>
      <w:r w:rsidRPr="00A4651C">
        <w:rPr>
          <w:lang w:val="tr-TR" w:eastAsia="tr-TR"/>
        </w:rPr>
        <w:t>koagülan</w:t>
      </w:r>
      <w:proofErr w:type="spellEnd"/>
      <w:r w:rsidRPr="00A4651C">
        <w:rPr>
          <w:lang w:val="tr-TR" w:eastAsia="tr-TR"/>
        </w:rPr>
        <w:t xml:space="preserve"> kullanılması, uzun süreli NSAİİ kullanımı, sigara içilmesi, alkol kullanımı, ileri yaş ve genel durum bozukluğudur. Ölümcül Gİ olaylara ait spontan bildirimlerinin çoğu, yaşlı veya genel sağlık durumu kötü hastalara aittir, dolayısıyla bu hasta gruplarının tedavisinde dikkatli olunmalıdır.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NSAİİ ile tedavi edilen hastalarda potansiyel Gİ olay riskinin en aza indirilmesi için en düşük etkili doz, olası en kısa sürede kullanılmalıdır. Doktorlar ve hastalar NSAİİ kullanımı sırasında gelişebilecek Gİ kanama ve </w:t>
      </w:r>
      <w:proofErr w:type="spellStart"/>
      <w:r w:rsidRPr="00A4651C">
        <w:rPr>
          <w:lang w:val="tr-TR" w:eastAsia="tr-TR"/>
        </w:rPr>
        <w:t>ülserasyon</w:t>
      </w:r>
      <w:proofErr w:type="spellEnd"/>
      <w:r w:rsidRPr="00A4651C">
        <w:rPr>
          <w:lang w:val="tr-TR" w:eastAsia="tr-TR"/>
        </w:rPr>
        <w:t xml:space="preserve"> belirti ve </w:t>
      </w:r>
      <w:proofErr w:type="gramStart"/>
      <w:r w:rsidRPr="00A4651C">
        <w:rPr>
          <w:lang w:val="tr-TR" w:eastAsia="tr-TR"/>
        </w:rPr>
        <w:t>semptomlarına</w:t>
      </w:r>
      <w:proofErr w:type="gramEnd"/>
      <w:r w:rsidRPr="00A4651C">
        <w:rPr>
          <w:lang w:val="tr-TR" w:eastAsia="tr-TR"/>
        </w:rPr>
        <w:t xml:space="preserve"> karşı hazırlıklı olmalıdırlar ve eğer ciddi Gİ advers olaydan şüphelenirler ise, derhal ek değerlendirmeye ve tedaviye başlanmalıdır. Bu yaklaşım ciddi Gİ advers olayın ortadan kalkmasına kadar </w:t>
      </w:r>
      <w:proofErr w:type="spellStart"/>
      <w:r w:rsidRPr="00A4651C">
        <w:rPr>
          <w:lang w:val="tr-TR" w:eastAsia="tr-TR"/>
        </w:rPr>
        <w:t>NSAİİ’lerin</w:t>
      </w:r>
      <w:proofErr w:type="spellEnd"/>
      <w:r w:rsidRPr="00A4651C">
        <w:rPr>
          <w:lang w:val="tr-TR" w:eastAsia="tr-TR"/>
        </w:rPr>
        <w:t xml:space="preserve"> kesilmesi olmalıdır. Yüksek riskli hastalar için NSAİİ içermeyen alternatif tedaviler düşünülmelidir.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Renal Etkiler</w:t>
      </w:r>
    </w:p>
    <w:p w:rsidR="00FE15CE" w:rsidRPr="00A4651C" w:rsidRDefault="00FE15CE" w:rsidP="00FE15CE">
      <w:pPr>
        <w:spacing w:line="276" w:lineRule="auto"/>
        <w:jc w:val="both"/>
        <w:rPr>
          <w:lang w:val="tr-TR" w:eastAsia="tr-TR"/>
        </w:rPr>
      </w:pPr>
      <w:proofErr w:type="spellStart"/>
      <w:r w:rsidRPr="00A4651C">
        <w:rPr>
          <w:lang w:val="tr-TR" w:eastAsia="tr-TR"/>
        </w:rPr>
        <w:t>NSAİİ’lerin</w:t>
      </w:r>
      <w:proofErr w:type="spellEnd"/>
      <w:r w:rsidRPr="00A4651C">
        <w:rPr>
          <w:lang w:val="tr-TR" w:eastAsia="tr-TR"/>
        </w:rPr>
        <w:t xml:space="preserve"> uzun süre kullanımı </w:t>
      </w:r>
      <w:proofErr w:type="spellStart"/>
      <w:r w:rsidRPr="00A4651C">
        <w:rPr>
          <w:lang w:val="tr-TR" w:eastAsia="tr-TR"/>
        </w:rPr>
        <w:t>renal</w:t>
      </w:r>
      <w:proofErr w:type="spellEnd"/>
      <w:r w:rsidRPr="00A4651C">
        <w:rPr>
          <w:lang w:val="tr-TR" w:eastAsia="tr-TR"/>
        </w:rPr>
        <w:t xml:space="preserve"> </w:t>
      </w:r>
      <w:proofErr w:type="spellStart"/>
      <w:r w:rsidRPr="00A4651C">
        <w:rPr>
          <w:lang w:val="tr-TR" w:eastAsia="tr-TR"/>
        </w:rPr>
        <w:t>papiller</w:t>
      </w:r>
      <w:proofErr w:type="spellEnd"/>
      <w:r w:rsidRPr="00A4651C">
        <w:rPr>
          <w:lang w:val="tr-TR" w:eastAsia="tr-TR"/>
        </w:rPr>
        <w:t xml:space="preserve"> nekroza ve diğer böbrek hasarlarına neden olur. Böbrek </w:t>
      </w:r>
      <w:proofErr w:type="spellStart"/>
      <w:r w:rsidRPr="00A4651C">
        <w:rPr>
          <w:lang w:val="tr-TR" w:eastAsia="tr-TR"/>
        </w:rPr>
        <w:t>perfüzyonunun</w:t>
      </w:r>
      <w:proofErr w:type="spellEnd"/>
      <w:r w:rsidRPr="00A4651C">
        <w:rPr>
          <w:lang w:val="tr-TR" w:eastAsia="tr-TR"/>
        </w:rPr>
        <w:t xml:space="preserve"> sağlanmasında </w:t>
      </w:r>
      <w:proofErr w:type="spellStart"/>
      <w:r w:rsidRPr="00A4651C">
        <w:rPr>
          <w:lang w:val="tr-TR" w:eastAsia="tr-TR"/>
        </w:rPr>
        <w:t>prostaglandinlerin</w:t>
      </w:r>
      <w:proofErr w:type="spellEnd"/>
      <w:r w:rsidRPr="00A4651C">
        <w:rPr>
          <w:lang w:val="tr-TR" w:eastAsia="tr-TR"/>
        </w:rPr>
        <w:t xml:space="preserve"> </w:t>
      </w:r>
      <w:proofErr w:type="spellStart"/>
      <w:r w:rsidRPr="00A4651C">
        <w:rPr>
          <w:lang w:val="tr-TR" w:eastAsia="tr-TR"/>
        </w:rPr>
        <w:t>kompansatuar</w:t>
      </w:r>
      <w:proofErr w:type="spellEnd"/>
      <w:r w:rsidRPr="00A4651C">
        <w:rPr>
          <w:lang w:val="tr-TR" w:eastAsia="tr-TR"/>
        </w:rPr>
        <w:t xml:space="preserve"> etkinliği olan hastalarda da renal toksisite gözlenmiştir. Bu hastalarda </w:t>
      </w:r>
      <w:proofErr w:type="spellStart"/>
      <w:r w:rsidRPr="00A4651C">
        <w:rPr>
          <w:lang w:val="tr-TR" w:eastAsia="tr-TR"/>
        </w:rPr>
        <w:t>non</w:t>
      </w:r>
      <w:proofErr w:type="spellEnd"/>
      <w:r w:rsidRPr="00A4651C">
        <w:rPr>
          <w:lang w:val="tr-TR" w:eastAsia="tr-TR"/>
        </w:rPr>
        <w:t>-</w:t>
      </w:r>
      <w:proofErr w:type="spellStart"/>
      <w:r w:rsidRPr="00A4651C">
        <w:rPr>
          <w:lang w:val="tr-TR" w:eastAsia="tr-TR"/>
        </w:rPr>
        <w:t>steroid</w:t>
      </w:r>
      <w:proofErr w:type="spellEnd"/>
      <w:r w:rsidRPr="00A4651C">
        <w:rPr>
          <w:lang w:val="tr-TR" w:eastAsia="tr-TR"/>
        </w:rPr>
        <w:t xml:space="preserve"> anti-</w:t>
      </w:r>
      <w:proofErr w:type="spellStart"/>
      <w:r w:rsidRPr="00A4651C">
        <w:rPr>
          <w:lang w:val="tr-TR" w:eastAsia="tr-TR"/>
        </w:rPr>
        <w:t>inflamatuar</w:t>
      </w:r>
      <w:proofErr w:type="spellEnd"/>
      <w:r w:rsidRPr="00A4651C">
        <w:rPr>
          <w:lang w:val="tr-TR" w:eastAsia="tr-TR"/>
        </w:rPr>
        <w:t xml:space="preserve"> ilaç kullanımı, doza bağımlı olarak </w:t>
      </w:r>
      <w:proofErr w:type="spellStart"/>
      <w:r w:rsidRPr="00A4651C">
        <w:rPr>
          <w:lang w:val="tr-TR" w:eastAsia="tr-TR"/>
        </w:rPr>
        <w:t>prostaglandinlerin</w:t>
      </w:r>
      <w:proofErr w:type="spellEnd"/>
      <w:r w:rsidRPr="00A4651C">
        <w:rPr>
          <w:lang w:val="tr-TR" w:eastAsia="tr-TR"/>
        </w:rPr>
        <w:t xml:space="preserve"> yapımında azalmaya ve ikincil olarak böbrek kan akımını azaltarak böbrek </w:t>
      </w:r>
      <w:proofErr w:type="spellStart"/>
      <w:r w:rsidRPr="00A4651C">
        <w:rPr>
          <w:lang w:val="tr-TR" w:eastAsia="tr-TR"/>
        </w:rPr>
        <w:t>dekompansasyonunun</w:t>
      </w:r>
      <w:proofErr w:type="spellEnd"/>
      <w:r w:rsidRPr="00A4651C">
        <w:rPr>
          <w:lang w:val="tr-TR" w:eastAsia="tr-TR"/>
        </w:rPr>
        <w:t xml:space="preserve"> açıkça hızlanmasına neden olabilir. Böbrek fonksiyon bozukluğu, kalp yetmezliği, karaciğer yetmezliği olanlarda, diüretik ve ADE inhibitörleri alanlarda ve yaşlı hastalarda bu reaksiyonun riski daha fazladır. NSAİİ tedavinin kesilmesiyle, genellikle tedavi öncesi duruma geri dönülür.</w:t>
      </w:r>
    </w:p>
    <w:p w:rsidR="00FE15CE" w:rsidRPr="00A4651C" w:rsidRDefault="00FE15CE" w:rsidP="00FE15CE">
      <w:pPr>
        <w:spacing w:line="276" w:lineRule="auto"/>
        <w:jc w:val="both"/>
        <w:rPr>
          <w:lang w:val="tr-TR" w:eastAsia="tr-TR"/>
        </w:rPr>
      </w:pPr>
    </w:p>
    <w:p w:rsidR="00EE1D76" w:rsidRPr="00A4651C" w:rsidRDefault="00EE1D76"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İlerlemiş Böbrek Hastalığı</w:t>
      </w:r>
    </w:p>
    <w:p w:rsidR="00FE15CE" w:rsidRPr="00A4651C" w:rsidRDefault="00CF4EDE" w:rsidP="00FE15CE">
      <w:pPr>
        <w:spacing w:line="276" w:lineRule="auto"/>
        <w:jc w:val="both"/>
        <w:rPr>
          <w:lang w:val="tr-TR" w:eastAsia="tr-TR"/>
        </w:rPr>
      </w:pPr>
      <w:r w:rsidRPr="00A4651C">
        <w:rPr>
          <w:lang w:val="tr-TR" w:eastAsia="tr-TR"/>
        </w:rPr>
        <w:t xml:space="preserve">APRALJİN </w:t>
      </w:r>
      <w:proofErr w:type="spellStart"/>
      <w:r w:rsidRPr="00A4651C">
        <w:rPr>
          <w:lang w:val="tr-TR" w:eastAsia="tr-TR"/>
        </w:rPr>
        <w:t>FORTE’un</w:t>
      </w:r>
      <w:proofErr w:type="spellEnd"/>
      <w:r w:rsidR="00FE15CE" w:rsidRPr="00A4651C">
        <w:rPr>
          <w:lang w:val="tr-TR" w:eastAsia="tr-TR"/>
        </w:rPr>
        <w:t xml:space="preserve"> ilerlemiş böbrek hastalığı olanlarda kullanımına dair herhangi bir kontrollü klinik çalışma verisi yoktur. Bu nedenle APRALJİN FORTE, ilerlemiş böbrek hastalığı olanlarda önerilmemektedir. Eğer APRALJİN FORTE mutlaka kullanılacaksa, hastaların böbrek fonksiyonlarının yakın takibi uygundur.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Anafilaktoid</w:t>
      </w:r>
      <w:proofErr w:type="spellEnd"/>
      <w:r w:rsidRPr="00A4651C">
        <w:rPr>
          <w:lang w:val="tr-TR" w:eastAsia="tr-TR"/>
        </w:rPr>
        <w:t xml:space="preserve"> Reaksiyonlar</w:t>
      </w:r>
    </w:p>
    <w:p w:rsidR="00FE15CE" w:rsidRPr="00A4651C" w:rsidRDefault="00FE15CE" w:rsidP="00FE15CE">
      <w:pPr>
        <w:spacing w:line="276" w:lineRule="auto"/>
        <w:jc w:val="both"/>
        <w:rPr>
          <w:lang w:val="tr-TR" w:eastAsia="tr-TR"/>
        </w:rPr>
      </w:pPr>
      <w:r w:rsidRPr="00A4651C">
        <w:rPr>
          <w:lang w:val="tr-TR" w:eastAsia="tr-TR"/>
        </w:rPr>
        <w:t xml:space="preserve">Diğer </w:t>
      </w:r>
      <w:proofErr w:type="spellStart"/>
      <w:r w:rsidRPr="00A4651C">
        <w:rPr>
          <w:lang w:val="tr-TR" w:eastAsia="tr-TR"/>
        </w:rPr>
        <w:t>NSAİİ’lerle</w:t>
      </w:r>
      <w:proofErr w:type="spellEnd"/>
      <w:r w:rsidRPr="00A4651C">
        <w:rPr>
          <w:lang w:val="tr-TR" w:eastAsia="tr-TR"/>
        </w:rPr>
        <w:t xml:space="preserve"> olduğu gibi, APRALJİN </w:t>
      </w:r>
      <w:proofErr w:type="spellStart"/>
      <w:r w:rsidRPr="00A4651C">
        <w:rPr>
          <w:lang w:val="tr-TR" w:eastAsia="tr-TR"/>
        </w:rPr>
        <w:t>FORTE’a</w:t>
      </w:r>
      <w:proofErr w:type="spellEnd"/>
      <w:r w:rsidRPr="00A4651C">
        <w:rPr>
          <w:lang w:val="tr-TR" w:eastAsia="tr-TR"/>
        </w:rPr>
        <w:t xml:space="preserve"> karşı daha önceden maruz kaldığı bilinmeyen hastalarda </w:t>
      </w:r>
      <w:proofErr w:type="spellStart"/>
      <w:r w:rsidRPr="00A4651C">
        <w:rPr>
          <w:lang w:val="tr-TR" w:eastAsia="tr-TR"/>
        </w:rPr>
        <w:t>anafilaktoid</w:t>
      </w:r>
      <w:proofErr w:type="spellEnd"/>
      <w:r w:rsidRPr="00A4651C">
        <w:rPr>
          <w:lang w:val="tr-TR" w:eastAsia="tr-TR"/>
        </w:rPr>
        <w:t xml:space="preserve"> reaksiyonlar oluşabilir. APRALJİN FORTE, aspirin </w:t>
      </w:r>
      <w:proofErr w:type="spellStart"/>
      <w:r w:rsidRPr="00A4651C">
        <w:rPr>
          <w:lang w:val="tr-TR" w:eastAsia="tr-TR"/>
        </w:rPr>
        <w:t>triyadı</w:t>
      </w:r>
      <w:proofErr w:type="spellEnd"/>
      <w:r w:rsidRPr="00A4651C">
        <w:rPr>
          <w:lang w:val="tr-TR" w:eastAsia="tr-TR"/>
        </w:rPr>
        <w:t xml:space="preserve"> olan hastalara verilmemelidir. Bu </w:t>
      </w:r>
      <w:proofErr w:type="gramStart"/>
      <w:r w:rsidRPr="00A4651C">
        <w:rPr>
          <w:lang w:val="tr-TR" w:eastAsia="tr-TR"/>
        </w:rPr>
        <w:t>semptom</w:t>
      </w:r>
      <w:proofErr w:type="gramEnd"/>
      <w:r w:rsidRPr="00A4651C">
        <w:rPr>
          <w:lang w:val="tr-TR" w:eastAsia="tr-TR"/>
        </w:rPr>
        <w:t xml:space="preserve"> kompleksi tipik olarak nazal polipi olan veya olmayan, rinit geçiren astım hastalarında veya aspirin veya diğer NSAİİ alımı sonrasında potansiyel olarak ölümcül, ciddi bronkospazm sergileyen hastalarda gelişir. (bakınız, KONTRENDİKASYONLAR ve ÖNLEMLER – önceden mevcut astım). </w:t>
      </w:r>
      <w:proofErr w:type="spellStart"/>
      <w:r w:rsidRPr="00A4651C">
        <w:rPr>
          <w:lang w:val="tr-TR" w:eastAsia="tr-TR"/>
        </w:rPr>
        <w:t>Anafilaktoid</w:t>
      </w:r>
      <w:proofErr w:type="spellEnd"/>
      <w:r w:rsidRPr="00A4651C">
        <w:rPr>
          <w:lang w:val="tr-TR" w:eastAsia="tr-TR"/>
        </w:rPr>
        <w:t xml:space="preserve"> reaksiyon gelişen vakalarda acil müdahale düşünülmelidir.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Oküler etkiler</w:t>
      </w:r>
    </w:p>
    <w:p w:rsidR="00FE15CE" w:rsidRPr="00A4651C" w:rsidRDefault="00FE15CE" w:rsidP="00FE15CE">
      <w:pPr>
        <w:spacing w:line="276" w:lineRule="auto"/>
        <w:jc w:val="both"/>
        <w:rPr>
          <w:lang w:val="tr-TR" w:eastAsia="tr-TR"/>
        </w:rPr>
      </w:pPr>
      <w:r w:rsidRPr="00A4651C">
        <w:rPr>
          <w:lang w:val="tr-TR" w:eastAsia="tr-TR"/>
        </w:rPr>
        <w:t xml:space="preserve">Çalışmalarda, </w:t>
      </w:r>
      <w:proofErr w:type="spellStart"/>
      <w:r w:rsidRPr="00A4651C">
        <w:rPr>
          <w:lang w:val="tr-TR" w:eastAsia="tr-TR"/>
        </w:rPr>
        <w:t>naproksen</w:t>
      </w:r>
      <w:proofErr w:type="spellEnd"/>
      <w:r w:rsidRPr="00A4651C">
        <w:rPr>
          <w:lang w:val="tr-TR" w:eastAsia="tr-TR"/>
        </w:rPr>
        <w:t xml:space="preserve"> uygulamasına dayandırılabilecek oküler değişiklikler gösterilmemiştir. Nadir olgularda, </w:t>
      </w:r>
      <w:proofErr w:type="spellStart"/>
      <w:r w:rsidRPr="00A4651C">
        <w:rPr>
          <w:lang w:val="tr-TR" w:eastAsia="tr-TR"/>
        </w:rPr>
        <w:t>papillit</w:t>
      </w:r>
      <w:proofErr w:type="spellEnd"/>
      <w:r w:rsidRPr="00A4651C">
        <w:rPr>
          <w:lang w:val="tr-TR" w:eastAsia="tr-TR"/>
        </w:rPr>
        <w:t xml:space="preserve">, </w:t>
      </w:r>
      <w:proofErr w:type="spellStart"/>
      <w:r w:rsidRPr="00A4651C">
        <w:rPr>
          <w:lang w:val="tr-TR" w:eastAsia="tr-TR"/>
        </w:rPr>
        <w:t>retrobulbar</w:t>
      </w:r>
      <w:proofErr w:type="spellEnd"/>
      <w:r w:rsidRPr="00A4651C">
        <w:rPr>
          <w:lang w:val="tr-TR" w:eastAsia="tr-TR"/>
        </w:rPr>
        <w:t xml:space="preserve"> optik </w:t>
      </w:r>
      <w:proofErr w:type="spellStart"/>
      <w:r w:rsidRPr="00A4651C">
        <w:rPr>
          <w:lang w:val="tr-TR" w:eastAsia="tr-TR"/>
        </w:rPr>
        <w:t>nörit</w:t>
      </w:r>
      <w:proofErr w:type="spellEnd"/>
      <w:r w:rsidRPr="00A4651C">
        <w:rPr>
          <w:lang w:val="tr-TR" w:eastAsia="tr-TR"/>
        </w:rPr>
        <w:t xml:space="preserve"> ve </w:t>
      </w:r>
      <w:proofErr w:type="spellStart"/>
      <w:r w:rsidRPr="00A4651C">
        <w:rPr>
          <w:lang w:val="tr-TR" w:eastAsia="tr-TR"/>
        </w:rPr>
        <w:t>papilödem</w:t>
      </w:r>
      <w:proofErr w:type="spellEnd"/>
      <w:r w:rsidRPr="00A4651C">
        <w:rPr>
          <w:lang w:val="tr-TR" w:eastAsia="tr-TR"/>
        </w:rPr>
        <w:t xml:space="preserve"> gibi istenmeyen oküler bozukluklar, </w:t>
      </w:r>
      <w:proofErr w:type="spellStart"/>
      <w:r w:rsidRPr="00A4651C">
        <w:rPr>
          <w:lang w:val="tr-TR" w:eastAsia="tr-TR"/>
        </w:rPr>
        <w:t>naproksen</w:t>
      </w:r>
      <w:proofErr w:type="spellEnd"/>
      <w:r w:rsidRPr="00A4651C">
        <w:rPr>
          <w:lang w:val="tr-TR" w:eastAsia="tr-TR"/>
        </w:rPr>
        <w:t xml:space="preserve"> </w:t>
      </w:r>
      <w:proofErr w:type="gramStart"/>
      <w:r w:rsidRPr="00A4651C">
        <w:rPr>
          <w:lang w:val="tr-TR" w:eastAsia="tr-TR"/>
        </w:rPr>
        <w:t>dahil</w:t>
      </w:r>
      <w:proofErr w:type="gramEnd"/>
      <w:r w:rsidRPr="00A4651C">
        <w:rPr>
          <w:lang w:val="tr-TR" w:eastAsia="tr-TR"/>
        </w:rPr>
        <w:t xml:space="preserve"> olmak üzere NSAİ ilaç kullananlar tarafından bildirilmiştir, ancak nedensel ve etki ilişkisi saptanmamıştır; dolayısıyla </w:t>
      </w:r>
      <w:proofErr w:type="spellStart"/>
      <w:r w:rsidRPr="00A4651C">
        <w:rPr>
          <w:lang w:val="tr-TR" w:eastAsia="tr-TR"/>
        </w:rPr>
        <w:t>naproksen</w:t>
      </w:r>
      <w:proofErr w:type="spellEnd"/>
      <w:r w:rsidRPr="00A4651C">
        <w:rPr>
          <w:lang w:val="tr-TR" w:eastAsia="tr-TR"/>
        </w:rPr>
        <w:t xml:space="preserve"> tedavisi sırasında görme bozukluğu gelişen hastalara oftalmolojik muayene yapılmalıdır.</w:t>
      </w:r>
    </w:p>
    <w:p w:rsidR="00070801" w:rsidRPr="00A4651C" w:rsidRDefault="00070801"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Deri Reaksiyonları</w:t>
      </w:r>
    </w:p>
    <w:p w:rsidR="00FE15CE" w:rsidRPr="00A4651C" w:rsidRDefault="00FE15CE" w:rsidP="00FE15CE">
      <w:pPr>
        <w:spacing w:line="276" w:lineRule="auto"/>
        <w:jc w:val="both"/>
        <w:rPr>
          <w:lang w:val="tr-TR" w:eastAsia="tr-TR"/>
        </w:rPr>
      </w:pPr>
      <w:r w:rsidRPr="00A4651C">
        <w:rPr>
          <w:lang w:val="tr-TR" w:eastAsia="tr-TR"/>
        </w:rPr>
        <w:t>APRALJİN FORTE d</w:t>
      </w:r>
      <w:r w:rsidR="001713E4" w:rsidRPr="00A4651C">
        <w:rPr>
          <w:lang w:val="tr-TR" w:eastAsia="tr-TR"/>
        </w:rPr>
        <w:t>a</w:t>
      </w:r>
      <w:r w:rsidRPr="00A4651C">
        <w:rPr>
          <w:lang w:val="tr-TR" w:eastAsia="tr-TR"/>
        </w:rPr>
        <w:t xml:space="preserve"> </w:t>
      </w:r>
      <w:proofErr w:type="gramStart"/>
      <w:r w:rsidRPr="00A4651C">
        <w:rPr>
          <w:lang w:val="tr-TR" w:eastAsia="tr-TR"/>
        </w:rPr>
        <w:t>dahil</w:t>
      </w:r>
      <w:proofErr w:type="gramEnd"/>
      <w:r w:rsidRPr="00A4651C">
        <w:rPr>
          <w:lang w:val="tr-TR" w:eastAsia="tr-TR"/>
        </w:rPr>
        <w:t xml:space="preserve"> olmak üzere, </w:t>
      </w:r>
      <w:proofErr w:type="spellStart"/>
      <w:r w:rsidRPr="00A4651C">
        <w:rPr>
          <w:lang w:val="tr-TR" w:eastAsia="tr-TR"/>
        </w:rPr>
        <w:t>NSAİİ’ler</w:t>
      </w:r>
      <w:proofErr w:type="spellEnd"/>
      <w:r w:rsidRPr="00A4651C">
        <w:rPr>
          <w:lang w:val="tr-TR" w:eastAsia="tr-TR"/>
        </w:rPr>
        <w:t xml:space="preserve"> ölümcül olabilen </w:t>
      </w:r>
      <w:proofErr w:type="spellStart"/>
      <w:r w:rsidRPr="00A4651C">
        <w:rPr>
          <w:lang w:val="tr-TR" w:eastAsia="tr-TR"/>
        </w:rPr>
        <w:t>eksfoliyatif</w:t>
      </w:r>
      <w:proofErr w:type="spellEnd"/>
      <w:r w:rsidRPr="00A4651C">
        <w:rPr>
          <w:lang w:val="tr-TR" w:eastAsia="tr-TR"/>
        </w:rPr>
        <w:t xml:space="preserve"> dermatit, Stevens-Johnson sendromu (SJS) ve toksik epidermal nekroz (TEN) gibi ciddi advers cilt olaylarına neden olabilir. Bu ciddi olaylar, uyarı olmadan oluşabilir. Hastalar ciddi deri rahatsızlığı belirti ve bulgularına karşı uyarılmalıdırlar ve deri döküntüsü veya diğer aşırı duyarlık belirtilerinden birisi oluştuğunda ilaç kullanımı kesilmelidir.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Hamilelik</w:t>
      </w:r>
    </w:p>
    <w:p w:rsidR="00FE15CE" w:rsidRPr="00A4651C" w:rsidRDefault="00FE15CE" w:rsidP="00FE15CE">
      <w:pPr>
        <w:spacing w:line="276" w:lineRule="auto"/>
        <w:jc w:val="both"/>
        <w:rPr>
          <w:lang w:val="tr-TR" w:eastAsia="tr-TR"/>
        </w:rPr>
      </w:pPr>
      <w:r w:rsidRPr="00A4651C">
        <w:rPr>
          <w:lang w:val="tr-TR" w:eastAsia="tr-TR"/>
        </w:rPr>
        <w:t xml:space="preserve">Hamileliğin son döneminde diğer </w:t>
      </w:r>
      <w:proofErr w:type="spellStart"/>
      <w:r w:rsidRPr="00A4651C">
        <w:rPr>
          <w:lang w:val="tr-TR" w:eastAsia="tr-TR"/>
        </w:rPr>
        <w:t>NSAİİ’ler</w:t>
      </w:r>
      <w:proofErr w:type="spellEnd"/>
      <w:r w:rsidRPr="00A4651C">
        <w:rPr>
          <w:lang w:val="tr-TR" w:eastAsia="tr-TR"/>
        </w:rPr>
        <w:t xml:space="preserve"> gibi </w:t>
      </w:r>
      <w:r w:rsidR="006617FB" w:rsidRPr="00A4651C">
        <w:rPr>
          <w:lang w:val="tr-TR" w:eastAsia="tr-TR"/>
        </w:rPr>
        <w:t>APRALJİN FORTE da</w:t>
      </w:r>
      <w:r w:rsidRPr="00A4651C">
        <w:rPr>
          <w:lang w:val="tr-TR" w:eastAsia="tr-TR"/>
        </w:rPr>
        <w:t xml:space="preserve"> </w:t>
      </w:r>
      <w:proofErr w:type="spellStart"/>
      <w:r w:rsidRPr="00A4651C">
        <w:rPr>
          <w:lang w:val="tr-TR" w:eastAsia="tr-TR"/>
        </w:rPr>
        <w:t>ductus</w:t>
      </w:r>
      <w:proofErr w:type="spellEnd"/>
      <w:r w:rsidRPr="00A4651C">
        <w:rPr>
          <w:lang w:val="tr-TR" w:eastAsia="tr-TR"/>
        </w:rPr>
        <w:t xml:space="preserve"> </w:t>
      </w:r>
      <w:proofErr w:type="spellStart"/>
      <w:r w:rsidRPr="00A4651C">
        <w:rPr>
          <w:lang w:val="tr-TR" w:eastAsia="tr-TR"/>
        </w:rPr>
        <w:t>arteriosus’un</w:t>
      </w:r>
      <w:proofErr w:type="spellEnd"/>
      <w:r w:rsidRPr="00A4651C">
        <w:rPr>
          <w:lang w:val="tr-TR" w:eastAsia="tr-TR"/>
        </w:rPr>
        <w:t xml:space="preserve"> erken kapanmasına neden olabileceği için, kullanımından kaçınılmalıdır.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Önlemler</w:t>
      </w:r>
    </w:p>
    <w:p w:rsidR="00FE15CE" w:rsidRPr="00A4651C" w:rsidRDefault="00FE15CE" w:rsidP="00FE15CE">
      <w:pPr>
        <w:spacing w:line="276" w:lineRule="auto"/>
        <w:jc w:val="both"/>
        <w:rPr>
          <w:lang w:val="tr-TR" w:eastAsia="tr-TR"/>
        </w:rPr>
      </w:pPr>
      <w:r w:rsidRPr="00A4651C">
        <w:rPr>
          <w:lang w:val="tr-TR" w:eastAsia="tr-TR"/>
        </w:rPr>
        <w:t>Genel</w:t>
      </w:r>
    </w:p>
    <w:p w:rsidR="00FE15CE" w:rsidRPr="00A4651C" w:rsidRDefault="00FE15CE" w:rsidP="00FE15CE">
      <w:pPr>
        <w:spacing w:line="276" w:lineRule="auto"/>
        <w:jc w:val="both"/>
        <w:rPr>
          <w:lang w:val="tr-TR" w:eastAsia="tr-TR"/>
        </w:rPr>
      </w:pPr>
      <w:r w:rsidRPr="00A4651C">
        <w:rPr>
          <w:lang w:val="tr-TR" w:eastAsia="tr-TR"/>
        </w:rPr>
        <w:t>APRALJİN FORTE, kortikosteroidlerin yerine veya kortikosteroid yetersizliğinin tedavisi için kullanılmaz. Kortikosteroidlerin aniden kesilmesi, hastalığın alevlenmesine yol açabilir. Uzun süre kortikosteroid tedavisi almakta olan hastalarda kortikosteroid tedavisi sonlandırılmak istenirse tedavi yavaşça azaltılmalıdır.</w:t>
      </w:r>
    </w:p>
    <w:p w:rsidR="00FE15CE" w:rsidRPr="00A4651C" w:rsidRDefault="00FE15CE" w:rsidP="00FE15CE">
      <w:pPr>
        <w:spacing w:line="276" w:lineRule="auto"/>
        <w:jc w:val="both"/>
        <w:rPr>
          <w:lang w:val="tr-TR" w:eastAsia="tr-TR"/>
        </w:rPr>
      </w:pPr>
    </w:p>
    <w:p w:rsidR="00FE15CE" w:rsidRPr="00A4651C" w:rsidRDefault="00CF4EDE" w:rsidP="00FE15CE">
      <w:pPr>
        <w:spacing w:line="276" w:lineRule="auto"/>
        <w:jc w:val="both"/>
        <w:rPr>
          <w:lang w:val="tr-TR" w:eastAsia="tr-TR"/>
        </w:rPr>
      </w:pPr>
      <w:r w:rsidRPr="00A4651C">
        <w:rPr>
          <w:lang w:val="tr-TR" w:eastAsia="tr-TR"/>
        </w:rPr>
        <w:t xml:space="preserve">APRALJİN </w:t>
      </w:r>
      <w:proofErr w:type="spellStart"/>
      <w:r w:rsidRPr="00A4651C">
        <w:rPr>
          <w:lang w:val="tr-TR" w:eastAsia="tr-TR"/>
        </w:rPr>
        <w:t>FORTE’un</w:t>
      </w:r>
      <w:proofErr w:type="spellEnd"/>
      <w:r w:rsidR="00FE15CE" w:rsidRPr="00A4651C">
        <w:rPr>
          <w:lang w:val="tr-TR" w:eastAsia="tr-TR"/>
        </w:rPr>
        <w:t xml:space="preserve"> ateş ve </w:t>
      </w:r>
      <w:proofErr w:type="spellStart"/>
      <w:r w:rsidR="00FE15CE" w:rsidRPr="00A4651C">
        <w:rPr>
          <w:lang w:val="tr-TR" w:eastAsia="tr-TR"/>
        </w:rPr>
        <w:t>inflamasyonun</w:t>
      </w:r>
      <w:proofErr w:type="spellEnd"/>
      <w:r w:rsidR="00FE15CE" w:rsidRPr="00A4651C">
        <w:rPr>
          <w:lang w:val="tr-TR" w:eastAsia="tr-TR"/>
        </w:rPr>
        <w:t xml:space="preserve"> azaltılmasına yönelik farmakolojik aktivitesi, </w:t>
      </w:r>
      <w:proofErr w:type="spellStart"/>
      <w:r w:rsidR="00FE15CE" w:rsidRPr="00A4651C">
        <w:rPr>
          <w:lang w:val="tr-TR" w:eastAsia="tr-TR"/>
        </w:rPr>
        <w:t>enfeksiyöz</w:t>
      </w:r>
      <w:proofErr w:type="spellEnd"/>
      <w:r w:rsidR="00FE15CE" w:rsidRPr="00A4651C">
        <w:rPr>
          <w:lang w:val="tr-TR" w:eastAsia="tr-TR"/>
        </w:rPr>
        <w:t xml:space="preserve"> olmayan, ağrılı olduğu öngörülen </w:t>
      </w:r>
      <w:proofErr w:type="gramStart"/>
      <w:r w:rsidR="00FE15CE" w:rsidRPr="00A4651C">
        <w:rPr>
          <w:lang w:val="tr-TR" w:eastAsia="tr-TR"/>
        </w:rPr>
        <w:t>komplikasyonların</w:t>
      </w:r>
      <w:proofErr w:type="gramEnd"/>
      <w:r w:rsidR="00FE15CE" w:rsidRPr="00A4651C">
        <w:rPr>
          <w:lang w:val="tr-TR" w:eastAsia="tr-TR"/>
        </w:rPr>
        <w:t xml:space="preserve"> belirlenmesine ait tanısal bulguların kullanılabilirliğini azaltabilir.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Hepatik Etkiler</w:t>
      </w:r>
    </w:p>
    <w:p w:rsidR="00FE15CE" w:rsidRPr="00A4651C" w:rsidRDefault="00FE15CE" w:rsidP="00FE15CE">
      <w:pPr>
        <w:spacing w:line="276" w:lineRule="auto"/>
        <w:jc w:val="both"/>
        <w:rPr>
          <w:lang w:val="tr-TR" w:eastAsia="tr-TR"/>
        </w:rPr>
      </w:pPr>
      <w:r w:rsidRPr="00A4651C">
        <w:rPr>
          <w:lang w:val="tr-TR" w:eastAsia="tr-TR"/>
        </w:rPr>
        <w:t xml:space="preserve">APRALJİN FORTE </w:t>
      </w:r>
      <w:proofErr w:type="gramStart"/>
      <w:r w:rsidRPr="00A4651C">
        <w:rPr>
          <w:lang w:val="tr-TR" w:eastAsia="tr-TR"/>
        </w:rPr>
        <w:t>dahil</w:t>
      </w:r>
      <w:proofErr w:type="gramEnd"/>
      <w:r w:rsidRPr="00A4651C">
        <w:rPr>
          <w:lang w:val="tr-TR" w:eastAsia="tr-TR"/>
        </w:rPr>
        <w:t xml:space="preserve"> olmak üzere, </w:t>
      </w:r>
      <w:proofErr w:type="spellStart"/>
      <w:r w:rsidRPr="00A4651C">
        <w:rPr>
          <w:lang w:val="tr-TR" w:eastAsia="tr-TR"/>
        </w:rPr>
        <w:t>NSAİİ’leri</w:t>
      </w:r>
      <w:proofErr w:type="spellEnd"/>
      <w:r w:rsidRPr="00A4651C">
        <w:rPr>
          <w:lang w:val="tr-TR" w:eastAsia="tr-TR"/>
        </w:rPr>
        <w:t xml:space="preserve"> alan hastaların % 15 kadarında, karaciğer testlerinin bir veya birden fazlasında sınırda artışlar olabilir. Bu laboratuar anormallikleri tedavi müddetince ilerleyebilir, değişmeyebilir veya geçici olabilir. </w:t>
      </w:r>
      <w:proofErr w:type="spellStart"/>
      <w:r w:rsidRPr="00A4651C">
        <w:rPr>
          <w:lang w:val="tr-TR" w:eastAsia="tr-TR"/>
        </w:rPr>
        <w:t>NSAİİ’lere</w:t>
      </w:r>
      <w:proofErr w:type="spellEnd"/>
      <w:r w:rsidRPr="00A4651C">
        <w:rPr>
          <w:lang w:val="tr-TR" w:eastAsia="tr-TR"/>
        </w:rPr>
        <w:t xml:space="preserve"> ait klinik çalışmalarda, hastaların yaklaşık % 1’inde ALT ve </w:t>
      </w:r>
      <w:proofErr w:type="spellStart"/>
      <w:r w:rsidRPr="00A4651C">
        <w:rPr>
          <w:lang w:val="tr-TR" w:eastAsia="tr-TR"/>
        </w:rPr>
        <w:t>AST’de</w:t>
      </w:r>
      <w:proofErr w:type="spellEnd"/>
      <w:r w:rsidRPr="00A4651C">
        <w:rPr>
          <w:lang w:val="tr-TR" w:eastAsia="tr-TR"/>
        </w:rPr>
        <w:t xml:space="preserve"> belirgin yükselmeler (normal değerin üst sınırının üç veya daha fazla katı) bildirilmiştir. Ayrıca nadiren sarılık ve ölümcül </w:t>
      </w:r>
      <w:proofErr w:type="spellStart"/>
      <w:r w:rsidRPr="00A4651C">
        <w:rPr>
          <w:lang w:val="tr-TR" w:eastAsia="tr-TR"/>
        </w:rPr>
        <w:t>fulminan</w:t>
      </w:r>
      <w:proofErr w:type="spellEnd"/>
      <w:r w:rsidRPr="00A4651C">
        <w:rPr>
          <w:lang w:val="tr-TR" w:eastAsia="tr-TR"/>
        </w:rPr>
        <w:t xml:space="preserve"> hepatit, karaciğer nekrozu ve karaciğer yetmezliğini </w:t>
      </w:r>
      <w:r w:rsidR="006617FB" w:rsidRPr="00A4651C">
        <w:rPr>
          <w:lang w:val="tr-TR" w:eastAsia="tr-TR"/>
        </w:rPr>
        <w:t xml:space="preserve">içeren </w:t>
      </w:r>
      <w:r w:rsidRPr="00A4651C">
        <w:rPr>
          <w:lang w:val="tr-TR" w:eastAsia="tr-TR"/>
        </w:rPr>
        <w:t>(bazıları fatal sonuçlanan) nadir ciddi karaciğer reaksiyonları bildirilmiştir.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APRALJİN FORTE ile tedavi sırasında, bir hastada karaciğer </w:t>
      </w:r>
      <w:proofErr w:type="spellStart"/>
      <w:r w:rsidRPr="00A4651C">
        <w:rPr>
          <w:lang w:val="tr-TR" w:eastAsia="tr-TR"/>
        </w:rPr>
        <w:t>disfonksiyonu</w:t>
      </w:r>
      <w:proofErr w:type="spellEnd"/>
      <w:r w:rsidRPr="00A4651C">
        <w:rPr>
          <w:lang w:val="tr-TR" w:eastAsia="tr-TR"/>
        </w:rPr>
        <w:t xml:space="preserve"> geliştiğine dair belirti ve/veya bulgular ortaya çıktığında veya anormal karaciğer testleri olanlarda, daha ciddi karaciğer reaksiyonlarının gelişimine ait kanıtlar incelenmelidir. Karaciğer hastalığı ile ilişkili klinik belirti veya bulgular ya da sistemik belirtiler (ör; </w:t>
      </w:r>
      <w:proofErr w:type="spellStart"/>
      <w:r w:rsidRPr="00A4651C">
        <w:rPr>
          <w:lang w:val="tr-TR" w:eastAsia="tr-TR"/>
        </w:rPr>
        <w:t>eozinofili</w:t>
      </w:r>
      <w:proofErr w:type="spellEnd"/>
      <w:r w:rsidRPr="00A4651C">
        <w:rPr>
          <w:lang w:val="tr-TR" w:eastAsia="tr-TR"/>
        </w:rPr>
        <w:t>, deri döküntüsü, vs.) ortaya çıkar ise, APRALJİN FORTE tedavisi kesilmelidir.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Hematolojik Etkiler</w:t>
      </w:r>
    </w:p>
    <w:p w:rsidR="00FE15CE" w:rsidRPr="00A4651C" w:rsidRDefault="00FE15CE" w:rsidP="00FE15CE">
      <w:pPr>
        <w:spacing w:line="276" w:lineRule="auto"/>
        <w:jc w:val="both"/>
        <w:rPr>
          <w:lang w:val="tr-TR" w:eastAsia="tr-TR"/>
        </w:rPr>
      </w:pPr>
      <w:r w:rsidRPr="00A4651C">
        <w:rPr>
          <w:lang w:val="tr-TR" w:eastAsia="tr-TR"/>
        </w:rPr>
        <w:t xml:space="preserve">APRALJİN FORTE </w:t>
      </w:r>
      <w:proofErr w:type="gramStart"/>
      <w:r w:rsidRPr="00A4651C">
        <w:rPr>
          <w:lang w:val="tr-TR" w:eastAsia="tr-TR"/>
        </w:rPr>
        <w:t>dahil</w:t>
      </w:r>
      <w:proofErr w:type="gramEnd"/>
      <w:r w:rsidRPr="00A4651C">
        <w:rPr>
          <w:lang w:val="tr-TR" w:eastAsia="tr-TR"/>
        </w:rPr>
        <w:t xml:space="preserve"> olmak üzere, NSAİİ alan hastalarda bazen anemi gözlenebilir. Bunun nedeni sıvı </w:t>
      </w:r>
      <w:proofErr w:type="spellStart"/>
      <w:r w:rsidRPr="00A4651C">
        <w:rPr>
          <w:lang w:val="tr-TR" w:eastAsia="tr-TR"/>
        </w:rPr>
        <w:t>retansiyonu</w:t>
      </w:r>
      <w:proofErr w:type="spellEnd"/>
      <w:r w:rsidRPr="00A4651C">
        <w:rPr>
          <w:lang w:val="tr-TR" w:eastAsia="tr-TR"/>
        </w:rPr>
        <w:t xml:space="preserve">, gizli veya </w:t>
      </w:r>
      <w:proofErr w:type="gramStart"/>
      <w:r w:rsidRPr="00A4651C">
        <w:rPr>
          <w:lang w:val="tr-TR" w:eastAsia="tr-TR"/>
        </w:rPr>
        <w:t>aşikar</w:t>
      </w:r>
      <w:proofErr w:type="gramEnd"/>
      <w:r w:rsidRPr="00A4651C">
        <w:rPr>
          <w:lang w:val="tr-TR" w:eastAsia="tr-TR"/>
        </w:rPr>
        <w:t xml:space="preserve"> Gİ kan kaybı veya </w:t>
      </w:r>
      <w:proofErr w:type="spellStart"/>
      <w:r w:rsidRPr="00A4651C">
        <w:rPr>
          <w:lang w:val="tr-TR" w:eastAsia="tr-TR"/>
        </w:rPr>
        <w:t>eritropoez</w:t>
      </w:r>
      <w:proofErr w:type="spellEnd"/>
      <w:r w:rsidRPr="00A4651C">
        <w:rPr>
          <w:lang w:val="tr-TR" w:eastAsia="tr-TR"/>
        </w:rPr>
        <w:t xml:space="preserve"> üzerindeki tam olarak tanımlanmamış etkilerdir. APRALJİN FORTE </w:t>
      </w:r>
      <w:proofErr w:type="gramStart"/>
      <w:r w:rsidRPr="00A4651C">
        <w:rPr>
          <w:lang w:val="tr-TR" w:eastAsia="tr-TR"/>
        </w:rPr>
        <w:t>dahil</w:t>
      </w:r>
      <w:proofErr w:type="gramEnd"/>
      <w:r w:rsidRPr="00A4651C">
        <w:rPr>
          <w:lang w:val="tr-TR" w:eastAsia="tr-TR"/>
        </w:rPr>
        <w:t xml:space="preserve"> olmak üzere, uzun süreli NSAİİ alan hastalarda, herhangi bir anemi belirti veya bulgusu gözlenirse hemoglobin ve </w:t>
      </w:r>
      <w:proofErr w:type="spellStart"/>
      <w:r w:rsidRPr="00A4651C">
        <w:rPr>
          <w:lang w:val="tr-TR" w:eastAsia="tr-TR"/>
        </w:rPr>
        <w:t>hematokrit</w:t>
      </w:r>
      <w:proofErr w:type="spellEnd"/>
      <w:r w:rsidRPr="00A4651C">
        <w:rPr>
          <w:lang w:val="tr-TR" w:eastAsia="tr-TR"/>
        </w:rPr>
        <w:t xml:space="preserve"> değerleri kontrol edilmelidir.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w:t>
      </w:r>
      <w:proofErr w:type="spellStart"/>
      <w:r w:rsidRPr="00A4651C">
        <w:rPr>
          <w:lang w:val="tr-TR" w:eastAsia="tr-TR"/>
        </w:rPr>
        <w:t>trombosit</w:t>
      </w:r>
      <w:proofErr w:type="spellEnd"/>
      <w:r w:rsidRPr="00A4651C">
        <w:rPr>
          <w:lang w:val="tr-TR" w:eastAsia="tr-TR"/>
        </w:rPr>
        <w:t xml:space="preserve"> </w:t>
      </w:r>
      <w:proofErr w:type="spellStart"/>
      <w:r w:rsidRPr="00A4651C">
        <w:rPr>
          <w:lang w:val="tr-TR" w:eastAsia="tr-TR"/>
        </w:rPr>
        <w:t>agregasyonunu</w:t>
      </w:r>
      <w:proofErr w:type="spellEnd"/>
      <w:r w:rsidRPr="00A4651C">
        <w:rPr>
          <w:lang w:val="tr-TR" w:eastAsia="tr-TR"/>
        </w:rPr>
        <w:t xml:space="preserve"> </w:t>
      </w:r>
      <w:proofErr w:type="spellStart"/>
      <w:r w:rsidRPr="00A4651C">
        <w:rPr>
          <w:lang w:val="tr-TR" w:eastAsia="tr-TR"/>
        </w:rPr>
        <w:t>inhibe</w:t>
      </w:r>
      <w:proofErr w:type="spellEnd"/>
      <w:r w:rsidRPr="00A4651C">
        <w:rPr>
          <w:lang w:val="tr-TR" w:eastAsia="tr-TR"/>
        </w:rPr>
        <w:t xml:space="preserve"> eder ve bazı hastalarda kanama zamanının uzadığı gösterilmiştir. Aspirinden farklı olarak, trombosit fonksiyonları üzerindeki etkileri </w:t>
      </w:r>
      <w:proofErr w:type="gramStart"/>
      <w:r w:rsidRPr="00A4651C">
        <w:rPr>
          <w:lang w:val="tr-TR" w:eastAsia="tr-TR"/>
        </w:rPr>
        <w:t>kantitatif</w:t>
      </w:r>
      <w:proofErr w:type="gramEnd"/>
      <w:r w:rsidRPr="00A4651C">
        <w:rPr>
          <w:lang w:val="tr-TR" w:eastAsia="tr-TR"/>
        </w:rPr>
        <w:t xml:space="preserve"> olarak daha az, kısa süreli ve geri dönüşümlüdür. Pıhtılaşma bozuklukları olan veya anti- </w:t>
      </w:r>
      <w:proofErr w:type="spellStart"/>
      <w:r w:rsidRPr="00A4651C">
        <w:rPr>
          <w:lang w:val="tr-TR" w:eastAsia="tr-TR"/>
        </w:rPr>
        <w:t>koagülan</w:t>
      </w:r>
      <w:proofErr w:type="spellEnd"/>
      <w:r w:rsidRPr="00A4651C">
        <w:rPr>
          <w:lang w:val="tr-TR" w:eastAsia="tr-TR"/>
        </w:rPr>
        <w:t xml:space="preserve"> alan hastalarda olduğu gibi, trombosit fonksiyonundaki değişikliklerden olumsuz şekilde etkilenen ve APRALJİN FORTE alan hastalar, dikkatlice takip edilmelidir.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Önceden mevcut astım</w:t>
      </w:r>
    </w:p>
    <w:p w:rsidR="00FE15CE" w:rsidRPr="00A4651C" w:rsidRDefault="00FE15CE" w:rsidP="00FE15CE">
      <w:pPr>
        <w:spacing w:line="276" w:lineRule="auto"/>
        <w:jc w:val="both"/>
        <w:rPr>
          <w:lang w:val="tr-TR" w:eastAsia="tr-TR"/>
        </w:rPr>
      </w:pPr>
      <w:r w:rsidRPr="00A4651C">
        <w:rPr>
          <w:lang w:val="tr-TR" w:eastAsia="tr-TR"/>
        </w:rPr>
        <w:t xml:space="preserve">Astımı olan hastalarda, aspirine duyarlı astım olabilir. Aspirine duyarlı astımı olan hastalarda aspirin kullanımı, ölümcül olabilen ciddi bronkospazm ile ilişkilendirilmiştir. Bu tür aspirine duyarlı hastalarda, aspirin ve diğer </w:t>
      </w:r>
      <w:proofErr w:type="spellStart"/>
      <w:r w:rsidRPr="00A4651C">
        <w:rPr>
          <w:lang w:val="tr-TR" w:eastAsia="tr-TR"/>
        </w:rPr>
        <w:t>non</w:t>
      </w:r>
      <w:proofErr w:type="spellEnd"/>
      <w:r w:rsidRPr="00A4651C">
        <w:rPr>
          <w:lang w:val="tr-TR" w:eastAsia="tr-TR"/>
        </w:rPr>
        <w:t>-</w:t>
      </w:r>
      <w:proofErr w:type="spellStart"/>
      <w:r w:rsidRPr="00A4651C">
        <w:rPr>
          <w:lang w:val="tr-TR" w:eastAsia="tr-TR"/>
        </w:rPr>
        <w:t>steroid</w:t>
      </w:r>
      <w:proofErr w:type="spellEnd"/>
      <w:r w:rsidRPr="00A4651C">
        <w:rPr>
          <w:lang w:val="tr-TR" w:eastAsia="tr-TR"/>
        </w:rPr>
        <w:t xml:space="preserve"> anti-</w:t>
      </w:r>
      <w:proofErr w:type="spellStart"/>
      <w:r w:rsidRPr="00A4651C">
        <w:rPr>
          <w:lang w:val="tr-TR" w:eastAsia="tr-TR"/>
        </w:rPr>
        <w:t>inflamatuar</w:t>
      </w:r>
      <w:proofErr w:type="spellEnd"/>
      <w:r w:rsidRPr="00A4651C">
        <w:rPr>
          <w:lang w:val="tr-TR" w:eastAsia="tr-TR"/>
        </w:rPr>
        <w:t xml:space="preserve"> ilaçlar arasında, bronkospazm </w:t>
      </w:r>
      <w:proofErr w:type="gramStart"/>
      <w:r w:rsidRPr="00A4651C">
        <w:rPr>
          <w:lang w:val="tr-TR" w:eastAsia="tr-TR"/>
        </w:rPr>
        <w:t>dahil</w:t>
      </w:r>
      <w:proofErr w:type="gramEnd"/>
      <w:r w:rsidRPr="00A4651C">
        <w:rPr>
          <w:lang w:val="tr-TR" w:eastAsia="tr-TR"/>
        </w:rPr>
        <w:t>, çapraz reaksiyon bildirilmiş olduğundan, bu hastalarda APRALJİN FORTE uygulanmamalı ve önceden beri astımı bulunan hastalarda dikkatle kullanılmalıdır.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Hastalar için bilgi</w:t>
      </w:r>
    </w:p>
    <w:p w:rsidR="00FE15CE" w:rsidRPr="00A4651C" w:rsidRDefault="00FE15CE" w:rsidP="00FE15CE">
      <w:pPr>
        <w:spacing w:line="276" w:lineRule="auto"/>
        <w:jc w:val="both"/>
        <w:rPr>
          <w:lang w:val="tr-TR" w:eastAsia="tr-TR"/>
        </w:rPr>
      </w:pPr>
      <w:r w:rsidRPr="00A4651C">
        <w:rPr>
          <w:b/>
          <w:bCs/>
          <w:lang w:val="tr-TR" w:eastAsia="tr-TR"/>
        </w:rPr>
        <w:t>Hastalar tedaviye başlamadan önce ve tedavi sırasında aşağıda belirtilen noktalar tarafından bilgilendirilmelidir.</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Diğer NSAİ ilaçlar gibi, </w:t>
      </w:r>
      <w:proofErr w:type="spellStart"/>
      <w:r w:rsidRPr="00A4651C">
        <w:rPr>
          <w:lang w:val="tr-TR" w:eastAsia="tr-TR"/>
        </w:rPr>
        <w:t>Naproksen</w:t>
      </w:r>
      <w:proofErr w:type="spellEnd"/>
      <w:r w:rsidRPr="00A4651C">
        <w:rPr>
          <w:lang w:val="tr-TR" w:eastAsia="tr-TR"/>
        </w:rPr>
        <w:t xml:space="preserve"> sodyum, hastanede yatmaya hatta ölüme neden olabilecek </w:t>
      </w:r>
      <w:proofErr w:type="spellStart"/>
      <w:r w:rsidRPr="00A4651C">
        <w:rPr>
          <w:lang w:val="tr-TR" w:eastAsia="tr-TR"/>
        </w:rPr>
        <w:t>miyokard</w:t>
      </w:r>
      <w:proofErr w:type="spellEnd"/>
      <w:r w:rsidRPr="00A4651C">
        <w:rPr>
          <w:lang w:val="tr-TR" w:eastAsia="tr-TR"/>
        </w:rPr>
        <w:t xml:space="preserve"> </w:t>
      </w:r>
      <w:proofErr w:type="spellStart"/>
      <w:r w:rsidRPr="00A4651C">
        <w:rPr>
          <w:lang w:val="tr-TR" w:eastAsia="tr-TR"/>
        </w:rPr>
        <w:t>infarktüsü</w:t>
      </w:r>
      <w:proofErr w:type="spellEnd"/>
      <w:r w:rsidRPr="00A4651C">
        <w:rPr>
          <w:lang w:val="tr-TR" w:eastAsia="tr-TR"/>
        </w:rPr>
        <w:t xml:space="preserve"> veya inme gibi ciddi KV yan etkilere neden olabilir. Ciddi KV yan etkiler herhangi bir uyarı semptomu olmadan oluşabilmesine rağmen, hastalar göğüs ağrısı, nefes darlığı, zayıflık, konuşmada bozulma gibi </w:t>
      </w:r>
      <w:proofErr w:type="gramStart"/>
      <w:r w:rsidRPr="00A4651C">
        <w:rPr>
          <w:lang w:val="tr-TR" w:eastAsia="tr-TR"/>
        </w:rPr>
        <w:t>semptom</w:t>
      </w:r>
      <w:proofErr w:type="gramEnd"/>
      <w:r w:rsidRPr="00A4651C">
        <w:rPr>
          <w:lang w:val="tr-TR" w:eastAsia="tr-TR"/>
        </w:rPr>
        <w:t xml:space="preserve"> ve bulgular açısından dikkatli olmalı ve hastalığın göstergesi herhangi bir semptom veya bulgu gözlemlediğinde hekimine danışmalıdır. Bu izlemin önemi açısından hastalar bilgilendirilmelidir. (Bakınız, bölüm </w:t>
      </w:r>
      <w:proofErr w:type="gramStart"/>
      <w:r w:rsidRPr="00A4651C">
        <w:rPr>
          <w:lang w:val="tr-TR" w:eastAsia="tr-TR"/>
        </w:rPr>
        <w:t>4.4</w:t>
      </w:r>
      <w:proofErr w:type="gramEnd"/>
      <w:r w:rsidRPr="00A4651C">
        <w:rPr>
          <w:lang w:val="tr-TR" w:eastAsia="tr-TR"/>
        </w:rPr>
        <w:t xml:space="preserve"> Özel kullanım uyarıları ve önlemleri-Kardiyovasküler etkiler)</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Diğer NSAİ ilaçlar gibi, </w:t>
      </w:r>
      <w:proofErr w:type="spellStart"/>
      <w:r w:rsidRPr="00A4651C">
        <w:rPr>
          <w:lang w:val="tr-TR" w:eastAsia="tr-TR"/>
        </w:rPr>
        <w:t>Naproksen</w:t>
      </w:r>
      <w:proofErr w:type="spellEnd"/>
      <w:r w:rsidRPr="00A4651C">
        <w:rPr>
          <w:lang w:val="tr-TR" w:eastAsia="tr-TR"/>
        </w:rPr>
        <w:t xml:space="preserve"> sodyum, Gİ rahatsızlığa ve nadiren de hastanede yatmaya hatta ölüme neden olabilecek ülser ve kanama gibi ciddi Gİ yan etkilere neden olabilir. Ciddi Gİ sistem </w:t>
      </w:r>
      <w:proofErr w:type="spellStart"/>
      <w:r w:rsidRPr="00A4651C">
        <w:rPr>
          <w:lang w:val="tr-TR" w:eastAsia="tr-TR"/>
        </w:rPr>
        <w:t>ülserasyonu</w:t>
      </w:r>
      <w:proofErr w:type="spellEnd"/>
      <w:r w:rsidRPr="00A4651C">
        <w:rPr>
          <w:lang w:val="tr-TR" w:eastAsia="tr-TR"/>
        </w:rPr>
        <w:t xml:space="preserve"> ve kanaması herhangi bir uyarı semptomu olmadan oluşabilmesine rağmen, hastalar </w:t>
      </w:r>
      <w:proofErr w:type="spellStart"/>
      <w:r w:rsidRPr="00A4651C">
        <w:rPr>
          <w:lang w:val="tr-TR" w:eastAsia="tr-TR"/>
        </w:rPr>
        <w:t>ülserasyon</w:t>
      </w:r>
      <w:proofErr w:type="spellEnd"/>
      <w:r w:rsidRPr="00A4651C">
        <w:rPr>
          <w:lang w:val="tr-TR" w:eastAsia="tr-TR"/>
        </w:rPr>
        <w:t xml:space="preserve"> ve kanamanın </w:t>
      </w:r>
      <w:proofErr w:type="gramStart"/>
      <w:r w:rsidRPr="00A4651C">
        <w:rPr>
          <w:lang w:val="tr-TR" w:eastAsia="tr-TR"/>
        </w:rPr>
        <w:t>semptom</w:t>
      </w:r>
      <w:proofErr w:type="gramEnd"/>
      <w:r w:rsidRPr="00A4651C">
        <w:rPr>
          <w:lang w:val="tr-TR" w:eastAsia="tr-TR"/>
        </w:rPr>
        <w:t xml:space="preserve"> ve bulguları açısından dikkatli olmalı ve </w:t>
      </w:r>
      <w:proofErr w:type="spellStart"/>
      <w:r w:rsidRPr="00A4651C">
        <w:rPr>
          <w:lang w:val="tr-TR" w:eastAsia="tr-TR"/>
        </w:rPr>
        <w:t>epigastrik</w:t>
      </w:r>
      <w:proofErr w:type="spellEnd"/>
      <w:r w:rsidRPr="00A4651C">
        <w:rPr>
          <w:lang w:val="tr-TR" w:eastAsia="tr-TR"/>
        </w:rPr>
        <w:t xml:space="preserve"> ağrı, </w:t>
      </w:r>
      <w:proofErr w:type="spellStart"/>
      <w:r w:rsidRPr="00A4651C">
        <w:rPr>
          <w:lang w:val="tr-TR" w:eastAsia="tr-TR"/>
        </w:rPr>
        <w:t>dispepsi</w:t>
      </w:r>
      <w:proofErr w:type="spellEnd"/>
      <w:r w:rsidRPr="00A4651C">
        <w:rPr>
          <w:lang w:val="tr-TR" w:eastAsia="tr-TR"/>
        </w:rPr>
        <w:t xml:space="preserve">, </w:t>
      </w:r>
      <w:proofErr w:type="spellStart"/>
      <w:r w:rsidRPr="00A4651C">
        <w:rPr>
          <w:lang w:val="tr-TR" w:eastAsia="tr-TR"/>
        </w:rPr>
        <w:t>melena</w:t>
      </w:r>
      <w:proofErr w:type="spellEnd"/>
      <w:r w:rsidRPr="00A4651C">
        <w:rPr>
          <w:lang w:val="tr-TR" w:eastAsia="tr-TR"/>
        </w:rPr>
        <w:t xml:space="preserve"> ve </w:t>
      </w:r>
      <w:proofErr w:type="spellStart"/>
      <w:r w:rsidRPr="00A4651C">
        <w:rPr>
          <w:lang w:val="tr-TR" w:eastAsia="tr-TR"/>
        </w:rPr>
        <w:t>hematemez</w:t>
      </w:r>
      <w:proofErr w:type="spellEnd"/>
      <w:r w:rsidRPr="00A4651C">
        <w:rPr>
          <w:lang w:val="tr-TR" w:eastAsia="tr-TR"/>
        </w:rPr>
        <w:t xml:space="preserve"> gibi hastalığın göstergesi herhangi bir semptom veya bulgu gözlemlediğinde hekimine danışmalıdır. Bu izlemin önemi açısından hastalar bilgilendirilmelidir. (Bakınız, bölüm </w:t>
      </w:r>
      <w:proofErr w:type="gramStart"/>
      <w:r w:rsidRPr="00A4651C">
        <w:rPr>
          <w:lang w:val="tr-TR" w:eastAsia="tr-TR"/>
        </w:rPr>
        <w:t>4.4</w:t>
      </w:r>
      <w:proofErr w:type="gramEnd"/>
      <w:r w:rsidRPr="00A4651C">
        <w:rPr>
          <w:lang w:val="tr-TR" w:eastAsia="tr-TR"/>
        </w:rPr>
        <w:t xml:space="preserve"> Özel kullanım uyarıları ve önlemleri- </w:t>
      </w:r>
      <w:proofErr w:type="spellStart"/>
      <w:r w:rsidRPr="00A4651C">
        <w:rPr>
          <w:lang w:val="tr-TR" w:eastAsia="tr-TR"/>
        </w:rPr>
        <w:t>Gastrointestinal</w:t>
      </w:r>
      <w:proofErr w:type="spellEnd"/>
      <w:r w:rsidRPr="00A4651C">
        <w:rPr>
          <w:lang w:val="tr-TR" w:eastAsia="tr-TR"/>
        </w:rPr>
        <w:t xml:space="preserve"> Etkiler - </w:t>
      </w:r>
      <w:proofErr w:type="spellStart"/>
      <w:r w:rsidRPr="00A4651C">
        <w:rPr>
          <w:lang w:val="tr-TR" w:eastAsia="tr-TR"/>
        </w:rPr>
        <w:t>Ülserasyon</w:t>
      </w:r>
      <w:proofErr w:type="spellEnd"/>
      <w:r w:rsidRPr="00A4651C">
        <w:rPr>
          <w:lang w:val="tr-TR" w:eastAsia="tr-TR"/>
        </w:rPr>
        <w:t xml:space="preserve">, Kanama ve </w:t>
      </w:r>
      <w:proofErr w:type="spellStart"/>
      <w:r w:rsidRPr="00A4651C">
        <w:rPr>
          <w:lang w:val="tr-TR" w:eastAsia="tr-TR"/>
        </w:rPr>
        <w:t>Perforasyon</w:t>
      </w:r>
      <w:proofErr w:type="spellEnd"/>
      <w:r w:rsidRPr="00A4651C">
        <w:rPr>
          <w:lang w:val="tr-TR" w:eastAsia="tr-TR"/>
        </w:rPr>
        <w:t xml:space="preserve"> Riski)</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Diğer NSAİ ilaçlar gibi, </w:t>
      </w:r>
      <w:proofErr w:type="spellStart"/>
      <w:r w:rsidRPr="00A4651C">
        <w:rPr>
          <w:lang w:val="tr-TR" w:eastAsia="tr-TR"/>
        </w:rPr>
        <w:t>Naproksen</w:t>
      </w:r>
      <w:proofErr w:type="spellEnd"/>
      <w:r w:rsidRPr="00A4651C">
        <w:rPr>
          <w:lang w:val="tr-TR" w:eastAsia="tr-TR"/>
        </w:rPr>
        <w:t xml:space="preserve"> sodyum, hastanede yatmaya hatta ölüme neden olabilecek </w:t>
      </w:r>
      <w:proofErr w:type="spellStart"/>
      <w:r w:rsidRPr="00A4651C">
        <w:rPr>
          <w:lang w:val="tr-TR" w:eastAsia="tr-TR"/>
        </w:rPr>
        <w:t>eksfoliyatif</w:t>
      </w:r>
      <w:proofErr w:type="spellEnd"/>
      <w:r w:rsidRPr="00A4651C">
        <w:rPr>
          <w:lang w:val="tr-TR" w:eastAsia="tr-TR"/>
        </w:rPr>
        <w:t xml:space="preserve"> dermatit, SJS ve TEN gibi ciddi dermatolojik yan etkilere neden olabilir. Ciddi deri reaksiyonları herhangi bir uyarı olmadan oluşabilmesine rağmen, hastalar deri döküntüsü ve kabarcık, ateş </w:t>
      </w:r>
      <w:proofErr w:type="gramStart"/>
      <w:r w:rsidRPr="00A4651C">
        <w:rPr>
          <w:lang w:val="tr-TR" w:eastAsia="tr-TR"/>
        </w:rPr>
        <w:t>semptom</w:t>
      </w:r>
      <w:proofErr w:type="gramEnd"/>
      <w:r w:rsidRPr="00A4651C">
        <w:rPr>
          <w:lang w:val="tr-TR" w:eastAsia="tr-TR"/>
        </w:rPr>
        <w:t xml:space="preserve"> ve bulguları veya kaşıntı gibi </w:t>
      </w:r>
      <w:proofErr w:type="spellStart"/>
      <w:r w:rsidRPr="00A4651C">
        <w:rPr>
          <w:lang w:val="tr-TR" w:eastAsia="tr-TR"/>
        </w:rPr>
        <w:t>hipersensitivitenin</w:t>
      </w:r>
      <w:proofErr w:type="spellEnd"/>
      <w:r w:rsidRPr="00A4651C">
        <w:rPr>
          <w:lang w:val="tr-TR" w:eastAsia="tr-TR"/>
        </w:rPr>
        <w:t xml:space="preserve"> diğer bulguları açısından dikkatli olmalı ve hastalığın göstergesi herhangi bir semptom veya bulgu gözlemlediğinde hekimine danışmalıdır. Hastalarda herhangi bir döküntü gelişirse hemen ilacı kesmeleri ve mümkün olduğunca çabuk hekimine danışması tavsiye edilmelidir.</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Açıklanamayan bir kilo artışı veya ödeme ait </w:t>
      </w:r>
      <w:proofErr w:type="gramStart"/>
      <w:r w:rsidRPr="00A4651C">
        <w:rPr>
          <w:lang w:val="tr-TR" w:eastAsia="tr-TR"/>
        </w:rPr>
        <w:t>semptom</w:t>
      </w:r>
      <w:proofErr w:type="gramEnd"/>
      <w:r w:rsidRPr="00A4651C">
        <w:rPr>
          <w:lang w:val="tr-TR" w:eastAsia="tr-TR"/>
        </w:rPr>
        <w:t xml:space="preserve"> ve bulguyu hastalar hızlıca hekimlerine bildirmelidir.</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Hastalar </w:t>
      </w:r>
      <w:proofErr w:type="spellStart"/>
      <w:r w:rsidRPr="00A4651C">
        <w:rPr>
          <w:lang w:val="tr-TR" w:eastAsia="tr-TR"/>
        </w:rPr>
        <w:t>hepatotoksisitenin</w:t>
      </w:r>
      <w:proofErr w:type="spellEnd"/>
      <w:r w:rsidRPr="00A4651C">
        <w:rPr>
          <w:lang w:val="tr-TR" w:eastAsia="tr-TR"/>
        </w:rPr>
        <w:t xml:space="preserve"> </w:t>
      </w:r>
      <w:proofErr w:type="gramStart"/>
      <w:r w:rsidRPr="00A4651C">
        <w:rPr>
          <w:lang w:val="tr-TR" w:eastAsia="tr-TR"/>
        </w:rPr>
        <w:t>semptom</w:t>
      </w:r>
      <w:proofErr w:type="gramEnd"/>
      <w:r w:rsidRPr="00A4651C">
        <w:rPr>
          <w:lang w:val="tr-TR" w:eastAsia="tr-TR"/>
        </w:rPr>
        <w:t xml:space="preserve"> ve bulguları açısından bilgilendirilmelidir (bulantı, yorgunluk, letarji, sarılık, sağ üst kadranda hassasiyet ve soğuk algınlığı benzeri semptomlar). Bunlar oluştuğu takdirde, hastalar tedaviyi sonlandırmalı ve hızlı medikal tedavi almalıdır.</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Hastalar anafilaktik reaksiyonun bulguları açısından bilgilendirilmelidir (nefes almada güçlük, yüz ve boğazın şişmesi). Bunlar oluştuğunda, hastaların hızlıca acil servise gitmeleri konusunda uyarılmalıdır (Bakınız, bölüm </w:t>
      </w:r>
      <w:proofErr w:type="gramStart"/>
      <w:r w:rsidRPr="00A4651C">
        <w:rPr>
          <w:lang w:val="tr-TR" w:eastAsia="tr-TR"/>
        </w:rPr>
        <w:t>4.4</w:t>
      </w:r>
      <w:proofErr w:type="gramEnd"/>
      <w:r w:rsidRPr="00A4651C">
        <w:rPr>
          <w:lang w:val="tr-TR" w:eastAsia="tr-TR"/>
        </w:rPr>
        <w:t xml:space="preserve"> Özel kullanım uyarıları ve önlemleri).</w:t>
      </w:r>
    </w:p>
    <w:p w:rsidR="00FE15CE" w:rsidRPr="00A4651C" w:rsidRDefault="00FE15CE" w:rsidP="00EE1D76">
      <w:pPr>
        <w:pStyle w:val="ListeParagraf"/>
        <w:numPr>
          <w:ilvl w:val="0"/>
          <w:numId w:val="20"/>
        </w:numPr>
        <w:spacing w:line="276" w:lineRule="auto"/>
        <w:ind w:left="284" w:hanging="284"/>
        <w:jc w:val="both"/>
        <w:rPr>
          <w:lang w:val="tr-TR" w:eastAsia="tr-TR"/>
        </w:rPr>
      </w:pPr>
      <w:r w:rsidRPr="00A4651C">
        <w:rPr>
          <w:lang w:val="tr-TR" w:eastAsia="tr-TR"/>
        </w:rPr>
        <w:t xml:space="preserve">Gebeliğin son döneminde, diğer NSAİ ilaçlar gibi, </w:t>
      </w:r>
      <w:proofErr w:type="spellStart"/>
      <w:r w:rsidRPr="00A4651C">
        <w:rPr>
          <w:lang w:val="tr-TR" w:eastAsia="tr-TR"/>
        </w:rPr>
        <w:t>naproksen</w:t>
      </w:r>
      <w:proofErr w:type="spellEnd"/>
      <w:r w:rsidRPr="00A4651C">
        <w:rPr>
          <w:lang w:val="tr-TR" w:eastAsia="tr-TR"/>
        </w:rPr>
        <w:t xml:space="preserve"> sodyum alınmamalıdır çünkü </w:t>
      </w:r>
      <w:proofErr w:type="spellStart"/>
      <w:r w:rsidRPr="00A4651C">
        <w:rPr>
          <w:lang w:val="tr-TR" w:eastAsia="tr-TR"/>
        </w:rPr>
        <w:t>duktus</w:t>
      </w:r>
      <w:proofErr w:type="spellEnd"/>
      <w:r w:rsidRPr="00A4651C">
        <w:rPr>
          <w:lang w:val="tr-TR" w:eastAsia="tr-TR"/>
        </w:rPr>
        <w:t xml:space="preserve"> </w:t>
      </w:r>
      <w:proofErr w:type="spellStart"/>
      <w:r w:rsidRPr="00A4651C">
        <w:rPr>
          <w:lang w:val="tr-TR" w:eastAsia="tr-TR"/>
        </w:rPr>
        <w:t>arteriosusun</w:t>
      </w:r>
      <w:proofErr w:type="spellEnd"/>
      <w:r w:rsidRPr="00A4651C">
        <w:rPr>
          <w:lang w:val="tr-TR" w:eastAsia="tr-TR"/>
        </w:rPr>
        <w:t xml:space="preserve"> erken kapanmasına neden olabilir.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b/>
          <w:bCs/>
          <w:lang w:val="tr-TR" w:eastAsia="tr-TR"/>
        </w:rPr>
        <w:t>Laboratuar testleri</w:t>
      </w:r>
    </w:p>
    <w:p w:rsidR="00FE15CE" w:rsidRPr="00A4651C" w:rsidRDefault="00FE15CE" w:rsidP="00FE15CE">
      <w:pPr>
        <w:spacing w:line="276" w:lineRule="auto"/>
        <w:jc w:val="both"/>
        <w:rPr>
          <w:lang w:val="tr-TR" w:eastAsia="tr-TR"/>
        </w:rPr>
      </w:pPr>
      <w:r w:rsidRPr="00A4651C">
        <w:rPr>
          <w:lang w:val="tr-TR" w:eastAsia="tr-TR"/>
        </w:rPr>
        <w:t xml:space="preserve">Herhangi bir uyarı semptomu olmadan ciddi Gİ kanal </w:t>
      </w:r>
      <w:proofErr w:type="spellStart"/>
      <w:r w:rsidRPr="00A4651C">
        <w:rPr>
          <w:lang w:val="tr-TR" w:eastAsia="tr-TR"/>
        </w:rPr>
        <w:t>ülserasyonu</w:t>
      </w:r>
      <w:proofErr w:type="spellEnd"/>
      <w:r w:rsidRPr="00A4651C">
        <w:rPr>
          <w:lang w:val="tr-TR" w:eastAsia="tr-TR"/>
        </w:rPr>
        <w:t xml:space="preserve"> ve kanaması oluşabileceğinden, hekimler Gİ kanama </w:t>
      </w:r>
      <w:proofErr w:type="gramStart"/>
      <w:r w:rsidRPr="00A4651C">
        <w:rPr>
          <w:lang w:val="tr-TR" w:eastAsia="tr-TR"/>
        </w:rPr>
        <w:t>semptom</w:t>
      </w:r>
      <w:proofErr w:type="gramEnd"/>
      <w:r w:rsidRPr="00A4651C">
        <w:rPr>
          <w:lang w:val="tr-TR" w:eastAsia="tr-TR"/>
        </w:rPr>
        <w:t xml:space="preserve"> ve bulgularını yakından izlemelidir. NSAİ ilaçlarla uzun süreli tedavide olan hastalarda tam kan sayımı ve kimyasal </w:t>
      </w:r>
      <w:proofErr w:type="gramStart"/>
      <w:r w:rsidRPr="00A4651C">
        <w:rPr>
          <w:lang w:val="tr-TR" w:eastAsia="tr-TR"/>
        </w:rPr>
        <w:t>profil</w:t>
      </w:r>
      <w:proofErr w:type="gramEnd"/>
      <w:r w:rsidRPr="00A4651C">
        <w:rPr>
          <w:lang w:val="tr-TR" w:eastAsia="tr-TR"/>
        </w:rPr>
        <w:t xml:space="preserve"> düzenli olarak takip edilmelidir. Karaciğer veya böbrek hastalığı ile uyumlu klinik </w:t>
      </w:r>
      <w:proofErr w:type="gramStart"/>
      <w:r w:rsidRPr="00A4651C">
        <w:rPr>
          <w:lang w:val="tr-TR" w:eastAsia="tr-TR"/>
        </w:rPr>
        <w:t>semptom</w:t>
      </w:r>
      <w:proofErr w:type="gramEnd"/>
      <w:r w:rsidRPr="00A4651C">
        <w:rPr>
          <w:lang w:val="tr-TR" w:eastAsia="tr-TR"/>
        </w:rPr>
        <w:t xml:space="preserve"> ve bulgular gelişirse, sistemik belirtiler oluşursa (</w:t>
      </w:r>
      <w:proofErr w:type="spellStart"/>
      <w:r w:rsidRPr="00A4651C">
        <w:rPr>
          <w:lang w:val="tr-TR" w:eastAsia="tr-TR"/>
        </w:rPr>
        <w:t>eozinofili</w:t>
      </w:r>
      <w:proofErr w:type="spellEnd"/>
      <w:r w:rsidRPr="00A4651C">
        <w:rPr>
          <w:lang w:val="tr-TR" w:eastAsia="tr-TR"/>
        </w:rPr>
        <w:t xml:space="preserve">, döküntü vb.) veya anormal karaciğer testleri devam eder veya kötüleşirse, </w:t>
      </w:r>
      <w:proofErr w:type="spellStart"/>
      <w:r w:rsidRPr="00A4651C">
        <w:rPr>
          <w:lang w:val="tr-TR" w:eastAsia="tr-TR"/>
        </w:rPr>
        <w:t>naproksen</w:t>
      </w:r>
      <w:proofErr w:type="spellEnd"/>
      <w:r w:rsidRPr="00A4651C">
        <w:rPr>
          <w:lang w:val="tr-TR" w:eastAsia="tr-TR"/>
        </w:rPr>
        <w:t xml:space="preserve"> sodyum tedavisi kesilmelidir.</w:t>
      </w:r>
    </w:p>
    <w:p w:rsidR="00C30014" w:rsidRPr="00A4651C" w:rsidRDefault="00C30014" w:rsidP="0088131E">
      <w:pPr>
        <w:spacing w:line="276" w:lineRule="auto"/>
        <w:jc w:val="both"/>
        <w:rPr>
          <w:b/>
        </w:rPr>
      </w:pPr>
    </w:p>
    <w:p w:rsidR="00511D8D" w:rsidRPr="00A4651C" w:rsidRDefault="00511D8D" w:rsidP="0088131E">
      <w:pPr>
        <w:spacing w:line="276" w:lineRule="auto"/>
        <w:jc w:val="both"/>
        <w:rPr>
          <w:b/>
        </w:rPr>
      </w:pPr>
      <w:r w:rsidRPr="00A4651C">
        <w:rPr>
          <w:b/>
        </w:rPr>
        <w:t>4.5. Diğer tıbbi ürünler ile etkileşimler ve diğer etkileşim şekilleri</w:t>
      </w:r>
    </w:p>
    <w:p w:rsidR="00FE15CE" w:rsidRPr="00A4651C" w:rsidRDefault="00FE15CE" w:rsidP="00FE15CE">
      <w:pPr>
        <w:spacing w:line="276" w:lineRule="auto"/>
        <w:jc w:val="both"/>
        <w:rPr>
          <w:lang w:val="tr-TR" w:eastAsia="tr-TR"/>
        </w:rPr>
      </w:pPr>
      <w:r w:rsidRPr="00A4651C">
        <w:rPr>
          <w:lang w:val="tr-TR" w:eastAsia="tr-TR"/>
        </w:rPr>
        <w:t xml:space="preserve">NSAİ ilaçlar ile ilişkili ciddi advers olayların tetiklenmesine ait </w:t>
      </w:r>
      <w:proofErr w:type="gramStart"/>
      <w:r w:rsidRPr="00A4651C">
        <w:rPr>
          <w:lang w:val="tr-TR" w:eastAsia="tr-TR"/>
        </w:rPr>
        <w:t>kümülatif</w:t>
      </w:r>
      <w:proofErr w:type="gramEnd"/>
      <w:r w:rsidRPr="00A4651C">
        <w:rPr>
          <w:lang w:val="tr-TR" w:eastAsia="tr-TR"/>
        </w:rPr>
        <w:t xml:space="preserve"> risk nedeniyle, APRALJİN FORTE ve diğer NSAİ ilaçların birlikte uygulanması önerilmemektedir.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Antiasid</w:t>
      </w:r>
      <w:proofErr w:type="spellEnd"/>
      <w:r w:rsidRPr="00A4651C">
        <w:rPr>
          <w:lang w:val="tr-TR" w:eastAsia="tr-TR"/>
        </w:rPr>
        <w:t xml:space="preserve"> veya </w:t>
      </w:r>
      <w:proofErr w:type="spellStart"/>
      <w:r w:rsidRPr="00A4651C">
        <w:rPr>
          <w:lang w:val="tr-TR" w:eastAsia="tr-TR"/>
        </w:rPr>
        <w:t>kolestiramin</w:t>
      </w:r>
      <w:proofErr w:type="spellEnd"/>
      <w:r w:rsidRPr="00A4651C">
        <w:rPr>
          <w:lang w:val="tr-TR" w:eastAsia="tr-TR"/>
        </w:rPr>
        <w:t xml:space="preserve"> ile birlikte uygulanması </w:t>
      </w:r>
      <w:proofErr w:type="spellStart"/>
      <w:r w:rsidRPr="00A4651C">
        <w:rPr>
          <w:lang w:val="tr-TR" w:eastAsia="tr-TR"/>
        </w:rPr>
        <w:t>naproksen</w:t>
      </w:r>
      <w:proofErr w:type="spellEnd"/>
      <w:r w:rsidRPr="00A4651C">
        <w:rPr>
          <w:lang w:val="tr-TR" w:eastAsia="tr-TR"/>
        </w:rPr>
        <w:t xml:space="preserve"> sodyumun emilimini geciktirebilir, ancak emilim miktarını etkilemez.</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Naproksen</w:t>
      </w:r>
      <w:proofErr w:type="spellEnd"/>
      <w:r w:rsidRPr="00A4651C">
        <w:rPr>
          <w:lang w:val="tr-TR" w:eastAsia="tr-TR"/>
        </w:rPr>
        <w:t xml:space="preserve"> sodyum plazma </w:t>
      </w:r>
      <w:proofErr w:type="spellStart"/>
      <w:r w:rsidRPr="00A4651C">
        <w:rPr>
          <w:lang w:val="tr-TR" w:eastAsia="tr-TR"/>
        </w:rPr>
        <w:t>albuminine</w:t>
      </w:r>
      <w:proofErr w:type="spellEnd"/>
      <w:r w:rsidRPr="00A4651C">
        <w:rPr>
          <w:lang w:val="tr-TR" w:eastAsia="tr-TR"/>
        </w:rPr>
        <w:t xml:space="preserve"> yüksek oranda bağlanmaktadır; dolayısıyla </w:t>
      </w:r>
      <w:proofErr w:type="spellStart"/>
      <w:r w:rsidRPr="00A4651C">
        <w:rPr>
          <w:lang w:val="tr-TR" w:eastAsia="tr-TR"/>
        </w:rPr>
        <w:t>kumarin</w:t>
      </w:r>
      <w:proofErr w:type="spellEnd"/>
      <w:r w:rsidRPr="00A4651C">
        <w:rPr>
          <w:lang w:val="tr-TR" w:eastAsia="tr-TR"/>
        </w:rPr>
        <w:t xml:space="preserve"> tipi </w:t>
      </w:r>
      <w:proofErr w:type="spellStart"/>
      <w:r w:rsidRPr="00A4651C">
        <w:rPr>
          <w:lang w:val="tr-TR" w:eastAsia="tr-TR"/>
        </w:rPr>
        <w:t>antikoagülanlar</w:t>
      </w:r>
      <w:proofErr w:type="spellEnd"/>
      <w:r w:rsidRPr="00A4651C">
        <w:rPr>
          <w:lang w:val="tr-TR" w:eastAsia="tr-TR"/>
        </w:rPr>
        <w:t xml:space="preserve">, </w:t>
      </w:r>
      <w:proofErr w:type="spellStart"/>
      <w:r w:rsidRPr="00A4651C">
        <w:rPr>
          <w:lang w:val="tr-TR" w:eastAsia="tr-TR"/>
        </w:rPr>
        <w:t>sülfonilüreler</w:t>
      </w:r>
      <w:proofErr w:type="spellEnd"/>
      <w:r w:rsidRPr="00A4651C">
        <w:rPr>
          <w:lang w:val="tr-TR" w:eastAsia="tr-TR"/>
        </w:rPr>
        <w:t xml:space="preserve">, </w:t>
      </w:r>
      <w:proofErr w:type="spellStart"/>
      <w:r w:rsidRPr="00A4651C">
        <w:rPr>
          <w:lang w:val="tr-TR" w:eastAsia="tr-TR"/>
        </w:rPr>
        <w:t>hidantoinler</w:t>
      </w:r>
      <w:proofErr w:type="spellEnd"/>
      <w:r w:rsidRPr="00A4651C">
        <w:rPr>
          <w:lang w:val="tr-TR" w:eastAsia="tr-TR"/>
        </w:rPr>
        <w:t xml:space="preserve">, diğer NSAİ ilaçlar ve aspirin gibi </w:t>
      </w:r>
      <w:proofErr w:type="spellStart"/>
      <w:r w:rsidRPr="00A4651C">
        <w:rPr>
          <w:lang w:val="tr-TR" w:eastAsia="tr-TR"/>
        </w:rPr>
        <w:t>albumine</w:t>
      </w:r>
      <w:proofErr w:type="spellEnd"/>
      <w:r w:rsidRPr="00A4651C">
        <w:rPr>
          <w:lang w:val="tr-TR" w:eastAsia="tr-TR"/>
        </w:rPr>
        <w:t xml:space="preserve"> bağlanan diğer ilaçlar ile teorik olarak etkileşme potansiyeli vardır. APRALJİN FORTE ile birlikte bir </w:t>
      </w:r>
      <w:proofErr w:type="spellStart"/>
      <w:r w:rsidRPr="00A4651C">
        <w:rPr>
          <w:lang w:val="tr-TR" w:eastAsia="tr-TR"/>
        </w:rPr>
        <w:t>hidantoin</w:t>
      </w:r>
      <w:proofErr w:type="spellEnd"/>
      <w:r w:rsidRPr="00A4651C">
        <w:rPr>
          <w:lang w:val="tr-TR" w:eastAsia="tr-TR"/>
        </w:rPr>
        <w:t xml:space="preserve">, </w:t>
      </w:r>
      <w:proofErr w:type="spellStart"/>
      <w:r w:rsidRPr="00A4651C">
        <w:rPr>
          <w:lang w:val="tr-TR" w:eastAsia="tr-TR"/>
        </w:rPr>
        <w:t>sülfonamid</w:t>
      </w:r>
      <w:proofErr w:type="spellEnd"/>
      <w:r w:rsidRPr="00A4651C">
        <w:rPr>
          <w:lang w:val="tr-TR" w:eastAsia="tr-TR"/>
        </w:rPr>
        <w:t xml:space="preserve"> veya </w:t>
      </w:r>
      <w:proofErr w:type="spellStart"/>
      <w:r w:rsidRPr="00A4651C">
        <w:rPr>
          <w:lang w:val="tr-TR" w:eastAsia="tr-TR"/>
        </w:rPr>
        <w:t>sülfonilüre</w:t>
      </w:r>
      <w:proofErr w:type="spellEnd"/>
      <w:r w:rsidRPr="00A4651C">
        <w:rPr>
          <w:lang w:val="tr-TR" w:eastAsia="tr-TR"/>
        </w:rPr>
        <w:t xml:space="preserve"> alan hastalar, gerektiğinde doz ayarlaması için gözlenmelidir.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Klinik çalışmalarda </w:t>
      </w:r>
      <w:proofErr w:type="spellStart"/>
      <w:r w:rsidRPr="00A4651C">
        <w:rPr>
          <w:lang w:val="tr-TR" w:eastAsia="tr-TR"/>
        </w:rPr>
        <w:t>naproksen</w:t>
      </w:r>
      <w:proofErr w:type="spellEnd"/>
      <w:r w:rsidRPr="00A4651C">
        <w:rPr>
          <w:lang w:val="tr-TR" w:eastAsia="tr-TR"/>
        </w:rPr>
        <w:t xml:space="preserve"> sodyum ve </w:t>
      </w:r>
      <w:proofErr w:type="spellStart"/>
      <w:r w:rsidRPr="00A4651C">
        <w:rPr>
          <w:lang w:val="tr-TR" w:eastAsia="tr-TR"/>
        </w:rPr>
        <w:t>kumarin</w:t>
      </w:r>
      <w:proofErr w:type="spellEnd"/>
      <w:r w:rsidRPr="00A4651C">
        <w:rPr>
          <w:lang w:val="tr-TR" w:eastAsia="tr-TR"/>
        </w:rPr>
        <w:t xml:space="preserve"> tipi antikoagülanlar arasında anlamlı bir etkileşimin gözlenmemesine rağmen, NSAİ ilaçlar </w:t>
      </w:r>
      <w:proofErr w:type="spellStart"/>
      <w:r w:rsidRPr="00A4651C">
        <w:rPr>
          <w:lang w:val="tr-TR" w:eastAsia="tr-TR"/>
        </w:rPr>
        <w:t>varfarin</w:t>
      </w:r>
      <w:proofErr w:type="spellEnd"/>
      <w:r w:rsidRPr="00A4651C">
        <w:rPr>
          <w:lang w:val="tr-TR" w:eastAsia="tr-TR"/>
        </w:rPr>
        <w:t xml:space="preserve"> gibi </w:t>
      </w:r>
      <w:proofErr w:type="spellStart"/>
      <w:r w:rsidRPr="00A4651C">
        <w:rPr>
          <w:lang w:val="tr-TR" w:eastAsia="tr-TR"/>
        </w:rPr>
        <w:t>antikoagülanların</w:t>
      </w:r>
      <w:proofErr w:type="spellEnd"/>
      <w:r w:rsidRPr="00A4651C">
        <w:rPr>
          <w:lang w:val="tr-TR" w:eastAsia="tr-TR"/>
        </w:rPr>
        <w:t xml:space="preserve"> etkilerini güçlendirebilmektedir. </w:t>
      </w:r>
      <w:proofErr w:type="spellStart"/>
      <w:r w:rsidRPr="00A4651C">
        <w:rPr>
          <w:lang w:val="tr-TR" w:eastAsia="tr-TR"/>
        </w:rPr>
        <w:t>Naproksen</w:t>
      </w:r>
      <w:proofErr w:type="spellEnd"/>
      <w:r w:rsidRPr="00A4651C">
        <w:rPr>
          <w:lang w:val="tr-TR" w:eastAsia="tr-TR"/>
        </w:rPr>
        <w:t xml:space="preserve"> sodyum </w:t>
      </w:r>
      <w:proofErr w:type="spellStart"/>
      <w:r w:rsidRPr="00A4651C">
        <w:rPr>
          <w:lang w:val="tr-TR" w:eastAsia="tr-TR"/>
        </w:rPr>
        <w:t>trombosit</w:t>
      </w:r>
      <w:proofErr w:type="spellEnd"/>
      <w:r w:rsidRPr="00A4651C">
        <w:rPr>
          <w:lang w:val="tr-TR" w:eastAsia="tr-TR"/>
        </w:rPr>
        <w:t xml:space="preserve"> </w:t>
      </w:r>
      <w:proofErr w:type="spellStart"/>
      <w:r w:rsidRPr="00A4651C">
        <w:rPr>
          <w:lang w:val="tr-TR" w:eastAsia="tr-TR"/>
        </w:rPr>
        <w:t>agregasyonunu</w:t>
      </w:r>
      <w:proofErr w:type="spellEnd"/>
      <w:r w:rsidRPr="00A4651C">
        <w:rPr>
          <w:lang w:val="tr-TR" w:eastAsia="tr-TR"/>
        </w:rPr>
        <w:t xml:space="preserve"> azaltmaktadır ve kanama zamanını uzatmaktadır. Kanama zamanı belirlenirken, bu etki unutulmamalıdır.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Probenesid</w:t>
      </w:r>
      <w:proofErr w:type="spellEnd"/>
    </w:p>
    <w:p w:rsidR="00FE15CE" w:rsidRPr="00A4651C" w:rsidRDefault="00FE15CE" w:rsidP="00FE15CE">
      <w:pPr>
        <w:spacing w:line="276" w:lineRule="auto"/>
        <w:jc w:val="both"/>
        <w:rPr>
          <w:lang w:val="tr-TR" w:eastAsia="tr-TR"/>
        </w:rPr>
      </w:pPr>
      <w:proofErr w:type="spellStart"/>
      <w:r w:rsidRPr="00A4651C">
        <w:rPr>
          <w:lang w:val="tr-TR" w:eastAsia="tr-TR"/>
        </w:rPr>
        <w:t>Probenesid</w:t>
      </w:r>
      <w:proofErr w:type="spellEnd"/>
      <w:r w:rsidRPr="00A4651C">
        <w:rPr>
          <w:lang w:val="tr-TR" w:eastAsia="tr-TR"/>
        </w:rPr>
        <w:t xml:space="preserve"> ile birlikte verilirken dikkatli olunmalıdır, zira </w:t>
      </w:r>
      <w:proofErr w:type="spellStart"/>
      <w:r w:rsidRPr="00A4651C">
        <w:rPr>
          <w:lang w:val="tr-TR" w:eastAsia="tr-TR"/>
        </w:rPr>
        <w:t>naproksen</w:t>
      </w:r>
      <w:proofErr w:type="spellEnd"/>
      <w:r w:rsidRPr="00A4651C">
        <w:rPr>
          <w:lang w:val="tr-TR" w:eastAsia="tr-TR"/>
        </w:rPr>
        <w:t xml:space="preserve"> sodyumun plazma konsantrasyonlarını artırmaktadır ve bu </w:t>
      </w:r>
      <w:proofErr w:type="gramStart"/>
      <w:r w:rsidRPr="00A4651C">
        <w:rPr>
          <w:lang w:val="tr-TR" w:eastAsia="tr-TR"/>
        </w:rPr>
        <w:t>kombinasyon</w:t>
      </w:r>
      <w:proofErr w:type="gramEnd"/>
      <w:r w:rsidRPr="00A4651C">
        <w:rPr>
          <w:lang w:val="tr-TR" w:eastAsia="tr-TR"/>
        </w:rPr>
        <w:t xml:space="preserve"> ile </w:t>
      </w:r>
      <w:proofErr w:type="spellStart"/>
      <w:r w:rsidRPr="00A4651C">
        <w:rPr>
          <w:lang w:val="tr-TR" w:eastAsia="tr-TR"/>
        </w:rPr>
        <w:t>naproksenin</w:t>
      </w:r>
      <w:proofErr w:type="spellEnd"/>
      <w:r w:rsidRPr="00A4651C">
        <w:rPr>
          <w:lang w:val="tr-TR" w:eastAsia="tr-TR"/>
        </w:rPr>
        <w:t xml:space="preserve"> yarı ömründe bir artış bildirilmiştir.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Siklosporin</w:t>
      </w:r>
      <w:proofErr w:type="spellEnd"/>
    </w:p>
    <w:p w:rsidR="00FE15CE" w:rsidRPr="00A4651C" w:rsidRDefault="00FE15CE" w:rsidP="00FE15CE">
      <w:pPr>
        <w:spacing w:line="276" w:lineRule="auto"/>
        <w:jc w:val="both"/>
        <w:rPr>
          <w:lang w:val="tr-TR" w:eastAsia="tr-TR"/>
        </w:rPr>
      </w:pPr>
      <w:r w:rsidRPr="00A4651C">
        <w:rPr>
          <w:lang w:val="tr-TR" w:eastAsia="tr-TR"/>
        </w:rPr>
        <w:t xml:space="preserve">Tüm </w:t>
      </w:r>
      <w:proofErr w:type="spellStart"/>
      <w:r w:rsidRPr="00A4651C">
        <w:rPr>
          <w:lang w:val="tr-TR" w:eastAsia="tr-TR"/>
        </w:rPr>
        <w:t>NSAİİ’lerde</w:t>
      </w:r>
      <w:proofErr w:type="spellEnd"/>
      <w:r w:rsidRPr="00A4651C">
        <w:rPr>
          <w:lang w:val="tr-TR" w:eastAsia="tr-TR"/>
        </w:rPr>
        <w:t xml:space="preserve"> olduğu gibi, </w:t>
      </w:r>
      <w:proofErr w:type="spellStart"/>
      <w:r w:rsidRPr="00A4651C">
        <w:rPr>
          <w:lang w:val="tr-TR" w:eastAsia="tr-TR"/>
        </w:rPr>
        <w:t>siklosporinle</w:t>
      </w:r>
      <w:proofErr w:type="spellEnd"/>
      <w:r w:rsidRPr="00A4651C">
        <w:rPr>
          <w:lang w:val="tr-TR" w:eastAsia="tr-TR"/>
        </w:rPr>
        <w:t xml:space="preserve"> birlikte kullanıldığında, artmış </w:t>
      </w:r>
      <w:proofErr w:type="spellStart"/>
      <w:r w:rsidRPr="00A4651C">
        <w:rPr>
          <w:lang w:val="tr-TR" w:eastAsia="tr-TR"/>
        </w:rPr>
        <w:t>nefrotoksisite</w:t>
      </w:r>
      <w:proofErr w:type="spellEnd"/>
      <w:r w:rsidRPr="00A4651C">
        <w:rPr>
          <w:lang w:val="tr-TR" w:eastAsia="tr-TR"/>
        </w:rPr>
        <w:t xml:space="preserve"> riskinden dolayı dikkatli olunması gerekir.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Mifepriston</w:t>
      </w:r>
      <w:proofErr w:type="spellEnd"/>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w:t>
      </w:r>
      <w:proofErr w:type="spellStart"/>
      <w:r w:rsidRPr="00A4651C">
        <w:rPr>
          <w:lang w:val="tr-TR" w:eastAsia="tr-TR"/>
        </w:rPr>
        <w:t>mifepristonun</w:t>
      </w:r>
      <w:proofErr w:type="spellEnd"/>
      <w:r w:rsidRPr="00A4651C">
        <w:rPr>
          <w:lang w:val="tr-TR" w:eastAsia="tr-TR"/>
        </w:rPr>
        <w:t xml:space="preserve"> etkisini azaltabileceğinden, </w:t>
      </w:r>
      <w:proofErr w:type="spellStart"/>
      <w:r w:rsidRPr="00A4651C">
        <w:rPr>
          <w:lang w:val="tr-TR" w:eastAsia="tr-TR"/>
        </w:rPr>
        <w:t>mifepriston</w:t>
      </w:r>
      <w:proofErr w:type="spellEnd"/>
      <w:r w:rsidRPr="00A4651C">
        <w:rPr>
          <w:lang w:val="tr-TR" w:eastAsia="tr-TR"/>
        </w:rPr>
        <w:t xml:space="preserve"> uygulamasından sonra 8-12 gün boyunca </w:t>
      </w:r>
      <w:proofErr w:type="spellStart"/>
      <w:r w:rsidRPr="00A4651C">
        <w:rPr>
          <w:lang w:val="tr-TR" w:eastAsia="tr-TR"/>
        </w:rPr>
        <w:t>NSAİİ’ler</w:t>
      </w:r>
      <w:proofErr w:type="spellEnd"/>
      <w:r w:rsidRPr="00A4651C">
        <w:rPr>
          <w:lang w:val="tr-TR" w:eastAsia="tr-TR"/>
        </w:rPr>
        <w:t xml:space="preserve"> kullanılmamalıdır.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Beta-</w:t>
      </w:r>
      <w:proofErr w:type="spellStart"/>
      <w:r w:rsidRPr="00A4651C">
        <w:rPr>
          <w:lang w:val="tr-TR" w:eastAsia="tr-TR"/>
        </w:rPr>
        <w:t>blokörler</w:t>
      </w:r>
      <w:proofErr w:type="spellEnd"/>
    </w:p>
    <w:p w:rsidR="00FE15CE" w:rsidRPr="00A4651C" w:rsidRDefault="00FE15CE" w:rsidP="00FE15CE">
      <w:pPr>
        <w:spacing w:line="276" w:lineRule="auto"/>
        <w:jc w:val="both"/>
        <w:rPr>
          <w:lang w:val="tr-TR" w:eastAsia="tr-TR"/>
        </w:rPr>
      </w:pPr>
      <w:r w:rsidRPr="00A4651C">
        <w:rPr>
          <w:lang w:val="tr-TR" w:eastAsia="tr-TR"/>
        </w:rPr>
        <w:t>APRALJİN FORTE, beta-</w:t>
      </w:r>
      <w:proofErr w:type="spellStart"/>
      <w:r w:rsidRPr="00A4651C">
        <w:rPr>
          <w:lang w:val="tr-TR" w:eastAsia="tr-TR"/>
        </w:rPr>
        <w:t>blokörlerin</w:t>
      </w:r>
      <w:proofErr w:type="spellEnd"/>
      <w:r w:rsidRPr="00A4651C">
        <w:rPr>
          <w:lang w:val="tr-TR" w:eastAsia="tr-TR"/>
        </w:rPr>
        <w:t xml:space="preserve"> anti-</w:t>
      </w:r>
      <w:proofErr w:type="spellStart"/>
      <w:r w:rsidRPr="00A4651C">
        <w:rPr>
          <w:lang w:val="tr-TR" w:eastAsia="tr-TR"/>
        </w:rPr>
        <w:t>hipertansif</w:t>
      </w:r>
      <w:proofErr w:type="spellEnd"/>
      <w:r w:rsidRPr="00A4651C">
        <w:rPr>
          <w:lang w:val="tr-TR" w:eastAsia="tr-TR"/>
        </w:rPr>
        <w:t xml:space="preserve"> etkilerini azaltabilir.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Kardiyak glikozitler</w:t>
      </w:r>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kardiyak glikozitlerle birlikte uygulandığında, kardiyak yetmezliği şiddetlendirebilir, </w:t>
      </w:r>
      <w:proofErr w:type="spellStart"/>
      <w:r w:rsidRPr="00A4651C">
        <w:rPr>
          <w:lang w:val="tr-TR" w:eastAsia="tr-TR"/>
        </w:rPr>
        <w:t>glomerüler</w:t>
      </w:r>
      <w:proofErr w:type="spellEnd"/>
      <w:r w:rsidRPr="00A4651C">
        <w:rPr>
          <w:lang w:val="tr-TR" w:eastAsia="tr-TR"/>
        </w:rPr>
        <w:t xml:space="preserve"> </w:t>
      </w:r>
      <w:proofErr w:type="spellStart"/>
      <w:r w:rsidRPr="00A4651C">
        <w:rPr>
          <w:lang w:val="tr-TR" w:eastAsia="tr-TR"/>
        </w:rPr>
        <w:t>filtrasyon</w:t>
      </w:r>
      <w:proofErr w:type="spellEnd"/>
      <w:r w:rsidRPr="00A4651C">
        <w:rPr>
          <w:lang w:val="tr-TR" w:eastAsia="tr-TR"/>
        </w:rPr>
        <w:t xml:space="preserve"> hızını azaltabilir ve plazma kardiyak glikozit seviyelerini artırabilir.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Takrolimus</w:t>
      </w:r>
      <w:proofErr w:type="spellEnd"/>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w:t>
      </w:r>
      <w:proofErr w:type="spellStart"/>
      <w:r w:rsidRPr="00A4651C">
        <w:rPr>
          <w:lang w:val="tr-TR" w:eastAsia="tr-TR"/>
        </w:rPr>
        <w:t>takrolimus</w:t>
      </w:r>
      <w:proofErr w:type="spellEnd"/>
      <w:r w:rsidRPr="00A4651C">
        <w:rPr>
          <w:lang w:val="tr-TR" w:eastAsia="tr-TR"/>
        </w:rPr>
        <w:t xml:space="preserve"> ile birlikte verildiğinde, muhtemel </w:t>
      </w:r>
      <w:proofErr w:type="spellStart"/>
      <w:r w:rsidRPr="00A4651C">
        <w:rPr>
          <w:lang w:val="tr-TR" w:eastAsia="tr-TR"/>
        </w:rPr>
        <w:t>nefrotoksisite</w:t>
      </w:r>
      <w:proofErr w:type="spellEnd"/>
      <w:r w:rsidRPr="00A4651C">
        <w:rPr>
          <w:lang w:val="tr-TR" w:eastAsia="tr-TR"/>
        </w:rPr>
        <w:t xml:space="preserve"> riski mevcuttur.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Zidavudin</w:t>
      </w:r>
      <w:proofErr w:type="spellEnd"/>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w:t>
      </w:r>
      <w:proofErr w:type="spellStart"/>
      <w:r w:rsidRPr="00A4651C">
        <w:rPr>
          <w:lang w:val="tr-TR" w:eastAsia="tr-TR"/>
        </w:rPr>
        <w:t>zidavudin</w:t>
      </w:r>
      <w:proofErr w:type="spellEnd"/>
      <w:r w:rsidRPr="00A4651C">
        <w:rPr>
          <w:lang w:val="tr-TR" w:eastAsia="tr-TR"/>
        </w:rPr>
        <w:t xml:space="preserve"> ile birlikte verildiğinde, hematolojik toksisite riski artabilir. </w:t>
      </w:r>
      <w:proofErr w:type="spellStart"/>
      <w:r w:rsidRPr="00A4651C">
        <w:rPr>
          <w:lang w:val="tr-TR" w:eastAsia="tr-TR"/>
        </w:rPr>
        <w:t>Zidavudin</w:t>
      </w:r>
      <w:proofErr w:type="spellEnd"/>
      <w:r w:rsidRPr="00A4651C">
        <w:rPr>
          <w:lang w:val="tr-TR" w:eastAsia="tr-TR"/>
        </w:rPr>
        <w:t xml:space="preserve"> ve </w:t>
      </w:r>
      <w:proofErr w:type="spellStart"/>
      <w:r w:rsidRPr="00A4651C">
        <w:rPr>
          <w:lang w:val="tr-TR" w:eastAsia="tr-TR"/>
        </w:rPr>
        <w:t>ibuprofenle</w:t>
      </w:r>
      <w:proofErr w:type="spellEnd"/>
      <w:r w:rsidRPr="00A4651C">
        <w:rPr>
          <w:lang w:val="tr-TR" w:eastAsia="tr-TR"/>
        </w:rPr>
        <w:t xml:space="preserve"> eş zamanlı tedavi gören HIV (+) hemofili hastalarında, </w:t>
      </w:r>
      <w:proofErr w:type="spellStart"/>
      <w:r w:rsidRPr="00A4651C">
        <w:rPr>
          <w:lang w:val="tr-TR" w:eastAsia="tr-TR"/>
        </w:rPr>
        <w:t>hemartroz</w:t>
      </w:r>
      <w:proofErr w:type="spellEnd"/>
      <w:r w:rsidRPr="00A4651C">
        <w:rPr>
          <w:lang w:val="tr-TR" w:eastAsia="tr-TR"/>
        </w:rPr>
        <w:t xml:space="preserve"> ve </w:t>
      </w:r>
      <w:proofErr w:type="spellStart"/>
      <w:r w:rsidRPr="00A4651C">
        <w:rPr>
          <w:lang w:val="tr-TR" w:eastAsia="tr-TR"/>
        </w:rPr>
        <w:t>hematom</w:t>
      </w:r>
      <w:proofErr w:type="spellEnd"/>
      <w:r w:rsidRPr="00A4651C">
        <w:rPr>
          <w:lang w:val="tr-TR" w:eastAsia="tr-TR"/>
        </w:rPr>
        <w:t xml:space="preserve"> riskinin arttığına dair bulgular mevcuttur.</w:t>
      </w:r>
    </w:p>
    <w:p w:rsidR="00FE15CE" w:rsidRPr="00A4651C" w:rsidRDefault="00FE15CE" w:rsidP="00FE15CE">
      <w:pPr>
        <w:spacing w:line="276" w:lineRule="auto"/>
        <w:jc w:val="both"/>
        <w:rPr>
          <w:lang w:val="tr-TR" w:eastAsia="tr-TR"/>
        </w:rPr>
      </w:pPr>
    </w:p>
    <w:p w:rsidR="00EE1D76" w:rsidRPr="00A4651C" w:rsidRDefault="00EE1D76"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SSRI’lar</w:t>
      </w:r>
      <w:proofErr w:type="spellEnd"/>
    </w:p>
    <w:p w:rsidR="00FE15CE" w:rsidRPr="00A4651C" w:rsidRDefault="00FE15CE" w:rsidP="00FE15CE">
      <w:pPr>
        <w:spacing w:line="276" w:lineRule="auto"/>
        <w:jc w:val="both"/>
        <w:rPr>
          <w:lang w:val="tr-TR" w:eastAsia="tr-TR"/>
        </w:rPr>
      </w:pPr>
      <w:r w:rsidRPr="00A4651C">
        <w:rPr>
          <w:lang w:val="tr-TR" w:eastAsia="tr-TR"/>
        </w:rPr>
        <w:t>Selektif serotonin geri alım inhibitörleri (</w:t>
      </w:r>
      <w:proofErr w:type="spellStart"/>
      <w:r w:rsidRPr="00A4651C">
        <w:rPr>
          <w:lang w:val="tr-TR" w:eastAsia="tr-TR"/>
        </w:rPr>
        <w:t>SSRI’lar</w:t>
      </w:r>
      <w:proofErr w:type="spellEnd"/>
      <w:r w:rsidRPr="00A4651C">
        <w:rPr>
          <w:lang w:val="tr-TR" w:eastAsia="tr-TR"/>
        </w:rPr>
        <w:t xml:space="preserve">) ile </w:t>
      </w:r>
      <w:proofErr w:type="spellStart"/>
      <w:r w:rsidRPr="00A4651C">
        <w:rPr>
          <w:lang w:val="tr-TR" w:eastAsia="tr-TR"/>
        </w:rPr>
        <w:t>NSAİİ’lar</w:t>
      </w:r>
      <w:proofErr w:type="spellEnd"/>
      <w:r w:rsidRPr="00A4651C">
        <w:rPr>
          <w:lang w:val="tr-TR" w:eastAsia="tr-TR"/>
        </w:rPr>
        <w:t xml:space="preserve"> kombine edildiklerinde, gastrointestinal kanama riski artmaktadır.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Steroidler</w:t>
      </w:r>
    </w:p>
    <w:p w:rsidR="00FE15CE" w:rsidRPr="00A4651C" w:rsidRDefault="00FE15CE" w:rsidP="00FE15CE">
      <w:pPr>
        <w:spacing w:line="276" w:lineRule="auto"/>
        <w:jc w:val="both"/>
        <w:rPr>
          <w:lang w:val="tr-TR" w:eastAsia="tr-TR"/>
        </w:rPr>
      </w:pPr>
      <w:r w:rsidRPr="00A4651C">
        <w:rPr>
          <w:lang w:val="tr-TR" w:eastAsia="tr-TR"/>
        </w:rPr>
        <w:t xml:space="preserve">Diğer </w:t>
      </w:r>
      <w:proofErr w:type="spellStart"/>
      <w:r w:rsidRPr="00A4651C">
        <w:rPr>
          <w:lang w:val="tr-TR" w:eastAsia="tr-TR"/>
        </w:rPr>
        <w:t>NSAİİ’lerde</w:t>
      </w:r>
      <w:proofErr w:type="spellEnd"/>
      <w:r w:rsidRPr="00A4651C">
        <w:rPr>
          <w:lang w:val="tr-TR" w:eastAsia="tr-TR"/>
        </w:rPr>
        <w:t xml:space="preserve"> olduğu gibi </w:t>
      </w:r>
      <w:proofErr w:type="spellStart"/>
      <w:r w:rsidRPr="00A4651C">
        <w:rPr>
          <w:lang w:val="tr-TR" w:eastAsia="tr-TR"/>
        </w:rPr>
        <w:t>kortikosteroidlerle</w:t>
      </w:r>
      <w:proofErr w:type="spellEnd"/>
      <w:r w:rsidRPr="00A4651C">
        <w:rPr>
          <w:lang w:val="tr-TR" w:eastAsia="tr-TR"/>
        </w:rPr>
        <w:t xml:space="preserve"> birlikte uygulandığında, artmış </w:t>
      </w:r>
      <w:proofErr w:type="spellStart"/>
      <w:r w:rsidRPr="00A4651C">
        <w:rPr>
          <w:lang w:val="tr-TR" w:eastAsia="tr-TR"/>
        </w:rPr>
        <w:t>gastrointestinal</w:t>
      </w:r>
      <w:proofErr w:type="spellEnd"/>
      <w:r w:rsidRPr="00A4651C">
        <w:rPr>
          <w:lang w:val="tr-TR" w:eastAsia="tr-TR"/>
        </w:rPr>
        <w:t xml:space="preserve"> </w:t>
      </w:r>
      <w:proofErr w:type="spellStart"/>
      <w:r w:rsidRPr="00A4651C">
        <w:rPr>
          <w:lang w:val="tr-TR" w:eastAsia="tr-TR"/>
        </w:rPr>
        <w:t>ülserasyon</w:t>
      </w:r>
      <w:proofErr w:type="spellEnd"/>
      <w:r w:rsidRPr="00A4651C">
        <w:rPr>
          <w:lang w:val="tr-TR" w:eastAsia="tr-TR"/>
        </w:rPr>
        <w:t xml:space="preserve"> ya da kanama riskinden dolayı dikkatli olunmalıdır.</w:t>
      </w:r>
    </w:p>
    <w:p w:rsidR="00FE15CE" w:rsidRPr="00A4651C" w:rsidRDefault="00FE15CE" w:rsidP="00FE15CE">
      <w:pPr>
        <w:spacing w:line="276" w:lineRule="auto"/>
        <w:jc w:val="both"/>
        <w:rPr>
          <w:lang w:val="tr-TR" w:eastAsia="tr-TR"/>
        </w:rPr>
      </w:pPr>
      <w:r w:rsidRPr="00A4651C">
        <w:rPr>
          <w:lang w:val="tr-TR" w:eastAsia="tr-TR"/>
        </w:rPr>
        <w:t xml:space="preserve">Tedavi sırasında </w:t>
      </w:r>
      <w:proofErr w:type="spellStart"/>
      <w:r w:rsidRPr="00A4651C">
        <w:rPr>
          <w:lang w:val="tr-TR" w:eastAsia="tr-TR"/>
        </w:rPr>
        <w:t>steroid</w:t>
      </w:r>
      <w:proofErr w:type="spellEnd"/>
      <w:r w:rsidRPr="00A4651C">
        <w:rPr>
          <w:lang w:val="tr-TR" w:eastAsia="tr-TR"/>
        </w:rPr>
        <w:t xml:space="preserve"> dozajı azaltılacak veya kesilecek ise, </w:t>
      </w:r>
      <w:proofErr w:type="spellStart"/>
      <w:r w:rsidRPr="00A4651C">
        <w:rPr>
          <w:lang w:val="tr-TR" w:eastAsia="tr-TR"/>
        </w:rPr>
        <w:t>steroid</w:t>
      </w:r>
      <w:proofErr w:type="spellEnd"/>
      <w:r w:rsidRPr="00A4651C">
        <w:rPr>
          <w:lang w:val="tr-TR" w:eastAsia="tr-TR"/>
        </w:rPr>
        <w:t xml:space="preserve"> dozajı yavaşça azaltılmalıdır ve hastalar, adrenal yetmezlik ve </w:t>
      </w:r>
      <w:proofErr w:type="spellStart"/>
      <w:r w:rsidRPr="00A4651C">
        <w:rPr>
          <w:lang w:val="tr-TR" w:eastAsia="tr-TR"/>
        </w:rPr>
        <w:t>artrit</w:t>
      </w:r>
      <w:proofErr w:type="spellEnd"/>
      <w:r w:rsidRPr="00A4651C">
        <w:rPr>
          <w:lang w:val="tr-TR" w:eastAsia="tr-TR"/>
        </w:rPr>
        <w:t xml:space="preserve"> </w:t>
      </w:r>
      <w:proofErr w:type="gramStart"/>
      <w:r w:rsidRPr="00A4651C">
        <w:rPr>
          <w:lang w:val="tr-TR" w:eastAsia="tr-TR"/>
        </w:rPr>
        <w:t>semptomlarında</w:t>
      </w:r>
      <w:proofErr w:type="gramEnd"/>
      <w:r w:rsidRPr="00A4651C">
        <w:rPr>
          <w:lang w:val="tr-TR" w:eastAsia="tr-TR"/>
        </w:rPr>
        <w:t xml:space="preserve"> alevlenme gibi advers etkilerin görülmesi açısından yakından gözlenmelidir.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Kinolonlar</w:t>
      </w:r>
    </w:p>
    <w:p w:rsidR="00FE15CE" w:rsidRPr="00A4651C" w:rsidRDefault="00FE15CE" w:rsidP="00FE15CE">
      <w:pPr>
        <w:spacing w:line="276" w:lineRule="auto"/>
        <w:jc w:val="both"/>
        <w:rPr>
          <w:lang w:val="tr-TR" w:eastAsia="tr-TR"/>
        </w:rPr>
      </w:pPr>
      <w:r w:rsidRPr="00A4651C">
        <w:rPr>
          <w:lang w:val="tr-TR" w:eastAsia="tr-TR"/>
        </w:rPr>
        <w:t xml:space="preserve">Hayvan çalışmalarından elde edilen veriler, </w:t>
      </w:r>
      <w:proofErr w:type="spellStart"/>
      <w:r w:rsidRPr="00A4651C">
        <w:rPr>
          <w:lang w:val="tr-TR" w:eastAsia="tr-TR"/>
        </w:rPr>
        <w:t>NSAİİ’lerin</w:t>
      </w:r>
      <w:proofErr w:type="spellEnd"/>
      <w:r w:rsidRPr="00A4651C">
        <w:rPr>
          <w:lang w:val="tr-TR" w:eastAsia="tr-TR"/>
        </w:rPr>
        <w:t xml:space="preserve"> </w:t>
      </w:r>
      <w:proofErr w:type="spellStart"/>
      <w:r w:rsidRPr="00A4651C">
        <w:rPr>
          <w:lang w:val="tr-TR" w:eastAsia="tr-TR"/>
        </w:rPr>
        <w:t>kinolon</w:t>
      </w:r>
      <w:proofErr w:type="spellEnd"/>
      <w:r w:rsidRPr="00A4651C">
        <w:rPr>
          <w:lang w:val="tr-TR" w:eastAsia="tr-TR"/>
        </w:rPr>
        <w:t xml:space="preserve"> antibiyotikleri ile ilişkili </w:t>
      </w:r>
      <w:proofErr w:type="spellStart"/>
      <w:r w:rsidRPr="00A4651C">
        <w:rPr>
          <w:lang w:val="tr-TR" w:eastAsia="tr-TR"/>
        </w:rPr>
        <w:t>konvülsiyon</w:t>
      </w:r>
      <w:proofErr w:type="spellEnd"/>
      <w:r w:rsidRPr="00A4651C">
        <w:rPr>
          <w:lang w:val="tr-TR" w:eastAsia="tr-TR"/>
        </w:rPr>
        <w:t xml:space="preserve"> riskini artırabileceğini göstermiştir. </w:t>
      </w:r>
      <w:proofErr w:type="spellStart"/>
      <w:r w:rsidRPr="00A4651C">
        <w:rPr>
          <w:lang w:val="tr-TR" w:eastAsia="tr-TR"/>
        </w:rPr>
        <w:t>Kinolon</w:t>
      </w:r>
      <w:proofErr w:type="spellEnd"/>
      <w:r w:rsidRPr="00A4651C">
        <w:rPr>
          <w:lang w:val="tr-TR" w:eastAsia="tr-TR"/>
        </w:rPr>
        <w:t xml:space="preserve"> kullanan hastalar </w:t>
      </w:r>
      <w:proofErr w:type="spellStart"/>
      <w:r w:rsidRPr="00A4651C">
        <w:rPr>
          <w:lang w:val="tr-TR" w:eastAsia="tr-TR"/>
        </w:rPr>
        <w:t>konvülsiyon</w:t>
      </w:r>
      <w:proofErr w:type="spellEnd"/>
      <w:r w:rsidRPr="00A4651C">
        <w:rPr>
          <w:lang w:val="tr-TR" w:eastAsia="tr-TR"/>
        </w:rPr>
        <w:t xml:space="preserve"> gelişmesi ile ilgili artmış risk altında olabilir.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ADE-İnhibitörleri</w:t>
      </w:r>
    </w:p>
    <w:p w:rsidR="00FE15CE" w:rsidRPr="00A4651C" w:rsidRDefault="00FE15CE" w:rsidP="00FE15CE">
      <w:pPr>
        <w:spacing w:line="276" w:lineRule="auto"/>
        <w:jc w:val="both"/>
        <w:rPr>
          <w:lang w:val="tr-TR" w:eastAsia="tr-TR"/>
        </w:rPr>
      </w:pPr>
      <w:proofErr w:type="spellStart"/>
      <w:r w:rsidRPr="00A4651C">
        <w:rPr>
          <w:lang w:val="tr-TR" w:eastAsia="tr-TR"/>
        </w:rPr>
        <w:t>NSAİİ’lerinin</w:t>
      </w:r>
      <w:proofErr w:type="spellEnd"/>
      <w:r w:rsidRPr="00A4651C">
        <w:rPr>
          <w:lang w:val="tr-TR" w:eastAsia="tr-TR"/>
        </w:rPr>
        <w:t xml:space="preserve"> ADE inhibitörlerinin </w:t>
      </w:r>
      <w:proofErr w:type="spellStart"/>
      <w:r w:rsidRPr="00A4651C">
        <w:rPr>
          <w:lang w:val="tr-TR" w:eastAsia="tr-TR"/>
        </w:rPr>
        <w:t>antihipertansif</w:t>
      </w:r>
      <w:proofErr w:type="spellEnd"/>
      <w:r w:rsidRPr="00A4651C">
        <w:rPr>
          <w:lang w:val="tr-TR" w:eastAsia="tr-TR"/>
        </w:rPr>
        <w:t xml:space="preserve"> etkinliğini azaltabildikleri bildirilmiştir. NSAİİ ile birlikte ADE-inhibitörleri alan hastalarda bu etkileşime dikkat edilmelidir.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Aspirin</w:t>
      </w:r>
    </w:p>
    <w:p w:rsidR="00FE15CE" w:rsidRPr="00A4651C" w:rsidRDefault="00FE15CE" w:rsidP="00FE15CE">
      <w:pPr>
        <w:spacing w:line="276" w:lineRule="auto"/>
        <w:jc w:val="both"/>
        <w:rPr>
          <w:lang w:val="tr-TR" w:eastAsia="tr-TR"/>
        </w:rPr>
      </w:pPr>
      <w:r w:rsidRPr="00A4651C">
        <w:rPr>
          <w:lang w:val="tr-TR" w:eastAsia="tr-TR"/>
        </w:rPr>
        <w:t xml:space="preserve">APRALJİN FORTE, aspirin ile beraber uygulandığında, proteine bağlanması azalır, ancak serbest </w:t>
      </w:r>
      <w:r w:rsidR="00CF4EDE" w:rsidRPr="00A4651C">
        <w:rPr>
          <w:lang w:val="tr-TR" w:eastAsia="tr-TR"/>
        </w:rPr>
        <w:t xml:space="preserve">APRALJİN </w:t>
      </w:r>
      <w:proofErr w:type="spellStart"/>
      <w:r w:rsidR="00CF4EDE" w:rsidRPr="00A4651C">
        <w:rPr>
          <w:lang w:val="tr-TR" w:eastAsia="tr-TR"/>
        </w:rPr>
        <w:t>FORTE’un</w:t>
      </w:r>
      <w:proofErr w:type="spellEnd"/>
      <w:r w:rsidRPr="00A4651C">
        <w:rPr>
          <w:lang w:val="tr-TR" w:eastAsia="tr-TR"/>
        </w:rPr>
        <w:t xml:space="preserve"> </w:t>
      </w:r>
      <w:proofErr w:type="spellStart"/>
      <w:r w:rsidRPr="00A4651C">
        <w:rPr>
          <w:lang w:val="tr-TR" w:eastAsia="tr-TR"/>
        </w:rPr>
        <w:t>klerensi</w:t>
      </w:r>
      <w:proofErr w:type="spellEnd"/>
      <w:r w:rsidRPr="00A4651C">
        <w:rPr>
          <w:lang w:val="tr-TR" w:eastAsia="tr-TR"/>
        </w:rPr>
        <w:t xml:space="preserve"> değişmez. Bu etkileşimin klinik önemi bilinmemektedir; ancak, diğer </w:t>
      </w:r>
      <w:proofErr w:type="spellStart"/>
      <w:r w:rsidRPr="00A4651C">
        <w:rPr>
          <w:lang w:val="tr-TR" w:eastAsia="tr-TR"/>
        </w:rPr>
        <w:t>NSAİİ’ler</w:t>
      </w:r>
      <w:proofErr w:type="spellEnd"/>
      <w:r w:rsidRPr="00A4651C">
        <w:rPr>
          <w:lang w:val="tr-TR" w:eastAsia="tr-TR"/>
        </w:rPr>
        <w:t xml:space="preserve"> gibi aspirin ile </w:t>
      </w:r>
      <w:proofErr w:type="spellStart"/>
      <w:r w:rsidRPr="00A4651C">
        <w:rPr>
          <w:lang w:val="tr-TR" w:eastAsia="tr-TR"/>
        </w:rPr>
        <w:t>naproksen</w:t>
      </w:r>
      <w:proofErr w:type="spellEnd"/>
      <w:r w:rsidRPr="00A4651C">
        <w:rPr>
          <w:lang w:val="tr-TR" w:eastAsia="tr-TR"/>
        </w:rPr>
        <w:t xml:space="preserve"> sodyum’un birlikte kullanımı, advers olay potansiyeli artışı nedeniyle tavsiye edilmemektedir.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Furosemid</w:t>
      </w:r>
      <w:proofErr w:type="spellEnd"/>
    </w:p>
    <w:p w:rsidR="00FE15CE" w:rsidRPr="00A4651C" w:rsidRDefault="00FE15CE" w:rsidP="00FE15CE">
      <w:pPr>
        <w:spacing w:line="276" w:lineRule="auto"/>
        <w:jc w:val="both"/>
        <w:rPr>
          <w:lang w:val="tr-TR" w:eastAsia="tr-TR"/>
        </w:rPr>
      </w:pPr>
      <w:r w:rsidRPr="00A4651C">
        <w:rPr>
          <w:lang w:val="tr-TR" w:eastAsia="tr-TR"/>
        </w:rPr>
        <w:t xml:space="preserve">Pazarlama sonrası çalışmalarda olduğu gibi, klinik çalışmalarda </w:t>
      </w:r>
      <w:proofErr w:type="spellStart"/>
      <w:r w:rsidRPr="00A4651C">
        <w:rPr>
          <w:lang w:val="tr-TR" w:eastAsia="tr-TR"/>
        </w:rPr>
        <w:t>naproksen</w:t>
      </w:r>
      <w:proofErr w:type="spellEnd"/>
      <w:r w:rsidRPr="00A4651C">
        <w:rPr>
          <w:lang w:val="tr-TR" w:eastAsia="tr-TR"/>
        </w:rPr>
        <w:t xml:space="preserve"> sodyumun bazı hastalarda </w:t>
      </w:r>
      <w:proofErr w:type="spellStart"/>
      <w:r w:rsidRPr="00A4651C">
        <w:rPr>
          <w:lang w:val="tr-TR" w:eastAsia="tr-TR"/>
        </w:rPr>
        <w:t>furosemid</w:t>
      </w:r>
      <w:proofErr w:type="spellEnd"/>
      <w:r w:rsidRPr="00A4651C">
        <w:rPr>
          <w:lang w:val="tr-TR" w:eastAsia="tr-TR"/>
        </w:rPr>
        <w:t xml:space="preserve"> ve </w:t>
      </w:r>
      <w:proofErr w:type="spellStart"/>
      <w:r w:rsidRPr="00A4651C">
        <w:rPr>
          <w:lang w:val="tr-TR" w:eastAsia="tr-TR"/>
        </w:rPr>
        <w:t>tiyazidlerin</w:t>
      </w:r>
      <w:proofErr w:type="spellEnd"/>
      <w:r w:rsidRPr="00A4651C">
        <w:rPr>
          <w:lang w:val="tr-TR" w:eastAsia="tr-TR"/>
        </w:rPr>
        <w:t xml:space="preserve"> </w:t>
      </w:r>
      <w:proofErr w:type="spellStart"/>
      <w:r w:rsidRPr="00A4651C">
        <w:rPr>
          <w:lang w:val="tr-TR" w:eastAsia="tr-TR"/>
        </w:rPr>
        <w:t>natriüretik</w:t>
      </w:r>
      <w:proofErr w:type="spellEnd"/>
      <w:r w:rsidRPr="00A4651C">
        <w:rPr>
          <w:lang w:val="tr-TR" w:eastAsia="tr-TR"/>
        </w:rPr>
        <w:t xml:space="preserve"> etkisini azaltabildiği gösterilmiştir. Bu yanıt, böbrek </w:t>
      </w:r>
      <w:proofErr w:type="spellStart"/>
      <w:r w:rsidRPr="00A4651C">
        <w:rPr>
          <w:lang w:val="tr-TR" w:eastAsia="tr-TR"/>
        </w:rPr>
        <w:t>prostaglandin</w:t>
      </w:r>
      <w:proofErr w:type="spellEnd"/>
      <w:r w:rsidRPr="00A4651C">
        <w:rPr>
          <w:lang w:val="tr-TR" w:eastAsia="tr-TR"/>
        </w:rPr>
        <w:t xml:space="preserve"> sentezinin </w:t>
      </w:r>
      <w:proofErr w:type="spellStart"/>
      <w:r w:rsidRPr="00A4651C">
        <w:rPr>
          <w:lang w:val="tr-TR" w:eastAsia="tr-TR"/>
        </w:rPr>
        <w:t>inhibisyonu</w:t>
      </w:r>
      <w:proofErr w:type="spellEnd"/>
      <w:r w:rsidRPr="00A4651C">
        <w:rPr>
          <w:lang w:val="tr-TR" w:eastAsia="tr-TR"/>
        </w:rPr>
        <w:t xml:space="preserve"> ile ilişkilendirilmiştir. </w:t>
      </w:r>
      <w:proofErr w:type="spellStart"/>
      <w:r w:rsidRPr="00A4651C">
        <w:rPr>
          <w:lang w:val="tr-TR" w:eastAsia="tr-TR"/>
        </w:rPr>
        <w:t>NSAİİ’ler</w:t>
      </w:r>
      <w:proofErr w:type="spellEnd"/>
      <w:r w:rsidRPr="00A4651C">
        <w:rPr>
          <w:lang w:val="tr-TR" w:eastAsia="tr-TR"/>
        </w:rPr>
        <w:t xml:space="preserve"> ile beraber tedavide, diüretik etkinin sağlanmasının yanında, hastalar böbrek yetmezliği bulgularına karşı yakından takip edilmelidirler (bakınız bölüm </w:t>
      </w:r>
      <w:proofErr w:type="gramStart"/>
      <w:r w:rsidRPr="00A4651C">
        <w:rPr>
          <w:lang w:val="tr-TR" w:eastAsia="tr-TR"/>
        </w:rPr>
        <w:t>4.4</w:t>
      </w:r>
      <w:proofErr w:type="gramEnd"/>
      <w:r w:rsidRPr="00A4651C">
        <w:rPr>
          <w:lang w:val="tr-TR" w:eastAsia="tr-TR"/>
        </w:rPr>
        <w:t xml:space="preserve"> Özel kullanım uyarıları ve önlemleri).</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Lityum</w:t>
      </w:r>
    </w:p>
    <w:p w:rsidR="00FE15CE" w:rsidRPr="00A4651C" w:rsidRDefault="00FE15CE" w:rsidP="00FE15CE">
      <w:pPr>
        <w:spacing w:line="276" w:lineRule="auto"/>
        <w:jc w:val="both"/>
        <w:rPr>
          <w:lang w:val="tr-TR" w:eastAsia="tr-TR"/>
        </w:rPr>
      </w:pPr>
      <w:proofErr w:type="spellStart"/>
      <w:r w:rsidRPr="00A4651C">
        <w:rPr>
          <w:lang w:val="tr-TR" w:eastAsia="tr-TR"/>
        </w:rPr>
        <w:t>NSAİİ’ler</w:t>
      </w:r>
      <w:proofErr w:type="spellEnd"/>
      <w:r w:rsidRPr="00A4651C">
        <w:rPr>
          <w:lang w:val="tr-TR" w:eastAsia="tr-TR"/>
        </w:rPr>
        <w:t xml:space="preserve"> plazma lityum seviyesinde yükselme ve böbrek lityum </w:t>
      </w:r>
      <w:proofErr w:type="spellStart"/>
      <w:r w:rsidRPr="00A4651C">
        <w:rPr>
          <w:lang w:val="tr-TR" w:eastAsia="tr-TR"/>
        </w:rPr>
        <w:t>klerensinde</w:t>
      </w:r>
      <w:proofErr w:type="spellEnd"/>
      <w:r w:rsidRPr="00A4651C">
        <w:rPr>
          <w:lang w:val="tr-TR" w:eastAsia="tr-TR"/>
        </w:rPr>
        <w:t xml:space="preserve"> azalmaya neden olmuştur. Ortalama lityum </w:t>
      </w:r>
      <w:proofErr w:type="gramStart"/>
      <w:r w:rsidRPr="00A4651C">
        <w:rPr>
          <w:lang w:val="tr-TR" w:eastAsia="tr-TR"/>
        </w:rPr>
        <w:t>konsantrasyonu</w:t>
      </w:r>
      <w:proofErr w:type="gramEnd"/>
      <w:r w:rsidRPr="00A4651C">
        <w:rPr>
          <w:lang w:val="tr-TR" w:eastAsia="tr-TR"/>
        </w:rPr>
        <w:t xml:space="preserve"> %15 artmıştır ve </w:t>
      </w:r>
      <w:proofErr w:type="spellStart"/>
      <w:r w:rsidRPr="00A4651C">
        <w:rPr>
          <w:lang w:val="tr-TR" w:eastAsia="tr-TR"/>
        </w:rPr>
        <w:t>renal</w:t>
      </w:r>
      <w:proofErr w:type="spellEnd"/>
      <w:r w:rsidRPr="00A4651C">
        <w:rPr>
          <w:lang w:val="tr-TR" w:eastAsia="tr-TR"/>
        </w:rPr>
        <w:t xml:space="preserve"> </w:t>
      </w:r>
      <w:proofErr w:type="spellStart"/>
      <w:r w:rsidRPr="00A4651C">
        <w:rPr>
          <w:lang w:val="tr-TR" w:eastAsia="tr-TR"/>
        </w:rPr>
        <w:t>klerens</w:t>
      </w:r>
      <w:proofErr w:type="spellEnd"/>
      <w:r w:rsidRPr="00A4651C">
        <w:rPr>
          <w:lang w:val="tr-TR" w:eastAsia="tr-TR"/>
        </w:rPr>
        <w:t xml:space="preserve"> yaklaşık %20 azalmıştır. Bu etkiler </w:t>
      </w:r>
      <w:proofErr w:type="spellStart"/>
      <w:r w:rsidRPr="00A4651C">
        <w:rPr>
          <w:lang w:val="tr-TR" w:eastAsia="tr-TR"/>
        </w:rPr>
        <w:t>NSAİİ’lerin</w:t>
      </w:r>
      <w:proofErr w:type="spellEnd"/>
      <w:r w:rsidRPr="00A4651C">
        <w:rPr>
          <w:lang w:val="tr-TR" w:eastAsia="tr-TR"/>
        </w:rPr>
        <w:t xml:space="preserve"> böbrek </w:t>
      </w:r>
      <w:proofErr w:type="spellStart"/>
      <w:r w:rsidRPr="00A4651C">
        <w:rPr>
          <w:lang w:val="tr-TR" w:eastAsia="tr-TR"/>
        </w:rPr>
        <w:t>prostaglandin</w:t>
      </w:r>
      <w:proofErr w:type="spellEnd"/>
      <w:r w:rsidRPr="00A4651C">
        <w:rPr>
          <w:lang w:val="tr-TR" w:eastAsia="tr-TR"/>
        </w:rPr>
        <w:t xml:space="preserve"> sentezinin inhibisyonu ile ilişkilendirilmiştir. Bu nedenle </w:t>
      </w:r>
      <w:proofErr w:type="spellStart"/>
      <w:r w:rsidRPr="00A4651C">
        <w:rPr>
          <w:lang w:val="tr-TR" w:eastAsia="tr-TR"/>
        </w:rPr>
        <w:t>NSAİİ’ler</w:t>
      </w:r>
      <w:proofErr w:type="spellEnd"/>
      <w:r w:rsidRPr="00A4651C">
        <w:rPr>
          <w:lang w:val="tr-TR" w:eastAsia="tr-TR"/>
        </w:rPr>
        <w:t xml:space="preserve"> ve lityum beraber kullanıldığında, hastalar lityum toksisitesi belirtileri yönünden dikkatlice takip edilmelidir.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proofErr w:type="spellStart"/>
      <w:r w:rsidRPr="00A4651C">
        <w:rPr>
          <w:lang w:val="tr-TR" w:eastAsia="tr-TR"/>
        </w:rPr>
        <w:t>Metotreksat</w:t>
      </w:r>
      <w:proofErr w:type="spellEnd"/>
    </w:p>
    <w:p w:rsidR="00FE15CE" w:rsidRPr="00A4651C" w:rsidRDefault="00FE15CE" w:rsidP="00FE15CE">
      <w:pPr>
        <w:spacing w:line="276" w:lineRule="auto"/>
        <w:jc w:val="both"/>
        <w:rPr>
          <w:lang w:val="tr-TR" w:eastAsia="tr-TR"/>
        </w:rPr>
      </w:pPr>
      <w:r w:rsidRPr="00A4651C">
        <w:rPr>
          <w:lang w:val="tr-TR" w:eastAsia="tr-TR"/>
        </w:rPr>
        <w:t xml:space="preserve">Tavşan böbrek kesitlerinde </w:t>
      </w:r>
      <w:proofErr w:type="spellStart"/>
      <w:r w:rsidRPr="00A4651C">
        <w:rPr>
          <w:lang w:val="tr-TR" w:eastAsia="tr-TR"/>
        </w:rPr>
        <w:t>NSAİİ’lerin</w:t>
      </w:r>
      <w:proofErr w:type="spellEnd"/>
      <w:r w:rsidRPr="00A4651C">
        <w:rPr>
          <w:lang w:val="tr-TR" w:eastAsia="tr-TR"/>
        </w:rPr>
        <w:t xml:space="preserve"> </w:t>
      </w:r>
      <w:proofErr w:type="spellStart"/>
      <w:r w:rsidRPr="00A4651C">
        <w:rPr>
          <w:lang w:val="tr-TR" w:eastAsia="tr-TR"/>
        </w:rPr>
        <w:t>metotreksatın</w:t>
      </w:r>
      <w:proofErr w:type="spellEnd"/>
      <w:r w:rsidRPr="00A4651C">
        <w:rPr>
          <w:lang w:val="tr-TR" w:eastAsia="tr-TR"/>
        </w:rPr>
        <w:t xml:space="preserve"> birikimini yarışmalı olarak inhibe ettiği bildirilmiştir. Bu nedenle </w:t>
      </w:r>
      <w:proofErr w:type="spellStart"/>
      <w:r w:rsidRPr="00A4651C">
        <w:rPr>
          <w:lang w:val="tr-TR" w:eastAsia="tr-TR"/>
        </w:rPr>
        <w:t>metotreksatın</w:t>
      </w:r>
      <w:proofErr w:type="spellEnd"/>
      <w:r w:rsidRPr="00A4651C">
        <w:rPr>
          <w:lang w:val="tr-TR" w:eastAsia="tr-TR"/>
        </w:rPr>
        <w:t xml:space="preserve"> </w:t>
      </w:r>
      <w:proofErr w:type="spellStart"/>
      <w:r w:rsidRPr="00A4651C">
        <w:rPr>
          <w:lang w:val="tr-TR" w:eastAsia="tr-TR"/>
        </w:rPr>
        <w:t>toksisitesini</w:t>
      </w:r>
      <w:proofErr w:type="spellEnd"/>
      <w:r w:rsidRPr="00A4651C">
        <w:rPr>
          <w:lang w:val="tr-TR" w:eastAsia="tr-TR"/>
        </w:rPr>
        <w:t xml:space="preserve"> arttırabilirler. </w:t>
      </w:r>
      <w:proofErr w:type="spellStart"/>
      <w:r w:rsidRPr="00A4651C">
        <w:rPr>
          <w:lang w:val="tr-TR" w:eastAsia="tr-TR"/>
        </w:rPr>
        <w:t>NSAİİ’ler</w:t>
      </w:r>
      <w:proofErr w:type="spellEnd"/>
      <w:r w:rsidRPr="00A4651C">
        <w:rPr>
          <w:lang w:val="tr-TR" w:eastAsia="tr-TR"/>
        </w:rPr>
        <w:t xml:space="preserve"> </w:t>
      </w:r>
      <w:proofErr w:type="spellStart"/>
      <w:r w:rsidRPr="00A4651C">
        <w:rPr>
          <w:lang w:val="tr-TR" w:eastAsia="tr-TR"/>
        </w:rPr>
        <w:t>metotreksat</w:t>
      </w:r>
      <w:proofErr w:type="spellEnd"/>
      <w:r w:rsidRPr="00A4651C">
        <w:rPr>
          <w:lang w:val="tr-TR" w:eastAsia="tr-TR"/>
        </w:rPr>
        <w:t xml:space="preserve"> ile beraber kullanıldığında dikkatli olunmalıdır.</w:t>
      </w:r>
    </w:p>
    <w:p w:rsidR="00FE15CE" w:rsidRPr="00A4651C" w:rsidRDefault="00FE15CE" w:rsidP="00FE15CE">
      <w:pPr>
        <w:spacing w:line="276" w:lineRule="auto"/>
        <w:jc w:val="both"/>
        <w:rPr>
          <w:lang w:val="tr-TR" w:eastAsia="tr-TR"/>
        </w:rPr>
      </w:pPr>
      <w:r w:rsidRPr="00A4651C">
        <w:rPr>
          <w:lang w:val="tr-TR" w:eastAsia="tr-TR"/>
        </w:rPr>
        <w:t>Varfarin</w:t>
      </w:r>
    </w:p>
    <w:p w:rsidR="00FE15CE" w:rsidRPr="00A4651C" w:rsidRDefault="00FE15CE" w:rsidP="00FE15CE">
      <w:pPr>
        <w:spacing w:line="276" w:lineRule="auto"/>
        <w:jc w:val="both"/>
        <w:rPr>
          <w:lang w:val="tr-TR" w:eastAsia="tr-TR"/>
        </w:rPr>
      </w:pPr>
      <w:proofErr w:type="spellStart"/>
      <w:r w:rsidRPr="00A4651C">
        <w:rPr>
          <w:lang w:val="tr-TR" w:eastAsia="tr-TR"/>
        </w:rPr>
        <w:t>Varfarin</w:t>
      </w:r>
      <w:proofErr w:type="spellEnd"/>
      <w:r w:rsidRPr="00A4651C">
        <w:rPr>
          <w:lang w:val="tr-TR" w:eastAsia="tr-TR"/>
        </w:rPr>
        <w:t xml:space="preserve"> ve </w:t>
      </w:r>
      <w:proofErr w:type="spellStart"/>
      <w:r w:rsidRPr="00A4651C">
        <w:rPr>
          <w:lang w:val="tr-TR" w:eastAsia="tr-TR"/>
        </w:rPr>
        <w:t>NSAİİ’lerin</w:t>
      </w:r>
      <w:proofErr w:type="spellEnd"/>
      <w:r w:rsidRPr="00A4651C">
        <w:rPr>
          <w:lang w:val="tr-TR" w:eastAsia="tr-TR"/>
        </w:rPr>
        <w:t xml:space="preserve"> Gİ kanama üzerindeki etkileri </w:t>
      </w:r>
      <w:proofErr w:type="spellStart"/>
      <w:r w:rsidRPr="00A4651C">
        <w:rPr>
          <w:lang w:val="tr-TR" w:eastAsia="tr-TR"/>
        </w:rPr>
        <w:t>sinerjistiktir</w:t>
      </w:r>
      <w:proofErr w:type="spellEnd"/>
      <w:r w:rsidRPr="00A4651C">
        <w:rPr>
          <w:lang w:val="tr-TR" w:eastAsia="tr-TR"/>
        </w:rPr>
        <w:t xml:space="preserve">. Bundan dolayı bu ilaçları beraber kullananların, ayrı </w:t>
      </w:r>
      <w:proofErr w:type="spellStart"/>
      <w:r w:rsidRPr="00A4651C">
        <w:rPr>
          <w:lang w:val="tr-TR" w:eastAsia="tr-TR"/>
        </w:rPr>
        <w:t>ayrı</w:t>
      </w:r>
      <w:proofErr w:type="spellEnd"/>
      <w:r w:rsidRPr="00A4651C">
        <w:rPr>
          <w:lang w:val="tr-TR" w:eastAsia="tr-TR"/>
        </w:rPr>
        <w:t xml:space="preserve"> kullananlara göre ciddi Gİ kanama riski daha fazladır.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Adrenal fonksiyon testleri yapılmadan 48 saat önce, geçici olarak APRALJİN FORTE tedavisinin kesilmesi önerilmektedir, çünkü </w:t>
      </w:r>
      <w:proofErr w:type="spellStart"/>
      <w:r w:rsidRPr="00A4651C">
        <w:rPr>
          <w:lang w:val="tr-TR" w:eastAsia="tr-TR"/>
        </w:rPr>
        <w:t>naproksen</w:t>
      </w:r>
      <w:proofErr w:type="spellEnd"/>
      <w:r w:rsidRPr="00A4651C">
        <w:rPr>
          <w:lang w:val="tr-TR" w:eastAsia="tr-TR"/>
        </w:rPr>
        <w:t xml:space="preserve"> sodyum 17-</w:t>
      </w:r>
      <w:proofErr w:type="spellStart"/>
      <w:r w:rsidRPr="00A4651C">
        <w:rPr>
          <w:lang w:val="tr-TR" w:eastAsia="tr-TR"/>
        </w:rPr>
        <w:t>ketojenik</w:t>
      </w:r>
      <w:proofErr w:type="spellEnd"/>
      <w:r w:rsidRPr="00A4651C">
        <w:rPr>
          <w:lang w:val="tr-TR" w:eastAsia="tr-TR"/>
        </w:rPr>
        <w:t xml:space="preserve"> </w:t>
      </w:r>
      <w:proofErr w:type="spellStart"/>
      <w:r w:rsidRPr="00A4651C">
        <w:rPr>
          <w:lang w:val="tr-TR" w:eastAsia="tr-TR"/>
        </w:rPr>
        <w:t>steroidlere</w:t>
      </w:r>
      <w:proofErr w:type="spellEnd"/>
      <w:r w:rsidRPr="00A4651C">
        <w:rPr>
          <w:lang w:val="tr-TR" w:eastAsia="tr-TR"/>
        </w:rPr>
        <w:t xml:space="preserve"> ait bazı testleri hatalı olarak etkileyebilmektedir. Benzer şekilde, APRALJİN FORTE tedavisi idrarda 5-</w:t>
      </w:r>
      <w:proofErr w:type="spellStart"/>
      <w:r w:rsidRPr="00A4651C">
        <w:rPr>
          <w:lang w:val="tr-TR" w:eastAsia="tr-TR"/>
        </w:rPr>
        <w:t>hidroksi</w:t>
      </w:r>
      <w:proofErr w:type="spellEnd"/>
      <w:r w:rsidRPr="00A4651C">
        <w:rPr>
          <w:lang w:val="tr-TR" w:eastAsia="tr-TR"/>
        </w:rPr>
        <w:t xml:space="preserve"> </w:t>
      </w:r>
      <w:proofErr w:type="spellStart"/>
      <w:r w:rsidRPr="00A4651C">
        <w:rPr>
          <w:lang w:val="tr-TR" w:eastAsia="tr-TR"/>
        </w:rPr>
        <w:t>indolasetik</w:t>
      </w:r>
      <w:proofErr w:type="spellEnd"/>
      <w:r w:rsidRPr="00A4651C">
        <w:rPr>
          <w:lang w:val="tr-TR" w:eastAsia="tr-TR"/>
        </w:rPr>
        <w:t xml:space="preserve"> asit (5HIAA) tayinini etkileyebilmektedir.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APRALJİN FORTE tabletin besinler ile birlikte uygulanması, </w:t>
      </w:r>
      <w:proofErr w:type="spellStart"/>
      <w:r w:rsidRPr="00A4651C">
        <w:rPr>
          <w:lang w:val="tr-TR" w:eastAsia="tr-TR"/>
        </w:rPr>
        <w:t>naproksen</w:t>
      </w:r>
      <w:proofErr w:type="spellEnd"/>
      <w:r w:rsidRPr="00A4651C">
        <w:rPr>
          <w:lang w:val="tr-TR" w:eastAsia="tr-TR"/>
        </w:rPr>
        <w:t xml:space="preserve"> sodyumun emilimini geciktirebilir, ancak emilim miktarını etkilemez.</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b/>
          <w:bCs/>
          <w:lang w:val="tr-TR" w:eastAsia="tr-TR"/>
        </w:rPr>
        <w:t xml:space="preserve">Özel </w:t>
      </w:r>
      <w:proofErr w:type="gramStart"/>
      <w:r w:rsidRPr="00A4651C">
        <w:rPr>
          <w:b/>
          <w:bCs/>
          <w:lang w:val="tr-TR" w:eastAsia="tr-TR"/>
        </w:rPr>
        <w:t>popülasyonlara</w:t>
      </w:r>
      <w:proofErr w:type="gramEnd"/>
      <w:r w:rsidRPr="00A4651C">
        <w:rPr>
          <w:b/>
          <w:bCs/>
          <w:lang w:val="tr-TR" w:eastAsia="tr-TR"/>
        </w:rPr>
        <w:t xml:space="preserve"> ilişkin ek bilgiler</w:t>
      </w:r>
    </w:p>
    <w:p w:rsidR="00FE15CE" w:rsidRPr="00A4651C" w:rsidRDefault="00FE15CE" w:rsidP="00FE15CE">
      <w:pPr>
        <w:spacing w:line="276" w:lineRule="auto"/>
        <w:jc w:val="both"/>
        <w:rPr>
          <w:lang w:val="tr-TR" w:eastAsia="tr-TR"/>
        </w:rPr>
      </w:pPr>
      <w:r w:rsidRPr="00A4651C">
        <w:rPr>
          <w:lang w:val="tr-TR" w:eastAsia="tr-TR"/>
        </w:rPr>
        <w:t xml:space="preserve">Pediyatrik </w:t>
      </w:r>
      <w:proofErr w:type="gramStart"/>
      <w:r w:rsidRPr="00A4651C">
        <w:rPr>
          <w:lang w:val="tr-TR" w:eastAsia="tr-TR"/>
        </w:rPr>
        <w:t>Popülasyon</w:t>
      </w:r>
      <w:proofErr w:type="gramEnd"/>
      <w:r w:rsidRPr="00A4651C">
        <w:rPr>
          <w:lang w:val="tr-TR" w:eastAsia="tr-TR"/>
        </w:rPr>
        <w:t>:</w:t>
      </w:r>
    </w:p>
    <w:p w:rsidR="00FE15CE" w:rsidRPr="00A4651C" w:rsidRDefault="00FE15CE" w:rsidP="00FE15CE">
      <w:pPr>
        <w:spacing w:line="276" w:lineRule="auto"/>
        <w:jc w:val="both"/>
        <w:rPr>
          <w:lang w:val="tr-TR" w:eastAsia="tr-TR"/>
        </w:rPr>
      </w:pPr>
      <w:r w:rsidRPr="00A4651C">
        <w:rPr>
          <w:lang w:val="tr-TR" w:eastAsia="tr-TR"/>
        </w:rPr>
        <w:t xml:space="preserve">Pediyatrik </w:t>
      </w:r>
      <w:proofErr w:type="gramStart"/>
      <w:r w:rsidRPr="00A4651C">
        <w:rPr>
          <w:lang w:val="tr-TR" w:eastAsia="tr-TR"/>
        </w:rPr>
        <w:t>popülasyona</w:t>
      </w:r>
      <w:proofErr w:type="gramEnd"/>
      <w:r w:rsidRPr="00A4651C">
        <w:rPr>
          <w:lang w:val="tr-TR" w:eastAsia="tr-TR"/>
        </w:rPr>
        <w:t xml:space="preserve"> ilişkin herhangi bir etkileşim çalışması tespit edilmemiştir.</w:t>
      </w:r>
    </w:p>
    <w:p w:rsidR="00FE15CE" w:rsidRPr="00A4651C" w:rsidRDefault="00FE15CE" w:rsidP="00FE15CE">
      <w:pPr>
        <w:spacing w:line="276" w:lineRule="auto"/>
        <w:jc w:val="both"/>
        <w:rPr>
          <w:lang w:val="tr-TR" w:eastAsia="tr-TR"/>
        </w:rPr>
      </w:pPr>
    </w:p>
    <w:p w:rsidR="00FE15CE" w:rsidRPr="00A4651C" w:rsidRDefault="00FE15CE" w:rsidP="00FE15CE">
      <w:pPr>
        <w:spacing w:line="276" w:lineRule="auto"/>
        <w:jc w:val="both"/>
        <w:rPr>
          <w:lang w:val="tr-TR" w:eastAsia="tr-TR"/>
        </w:rPr>
      </w:pPr>
      <w:r w:rsidRPr="00A4651C">
        <w:rPr>
          <w:lang w:val="tr-TR" w:eastAsia="tr-TR"/>
        </w:rPr>
        <w:t xml:space="preserve">Geriyatrik </w:t>
      </w:r>
      <w:proofErr w:type="gramStart"/>
      <w:r w:rsidRPr="00A4651C">
        <w:rPr>
          <w:lang w:val="tr-TR" w:eastAsia="tr-TR"/>
        </w:rPr>
        <w:t>Popülasyon</w:t>
      </w:r>
      <w:proofErr w:type="gramEnd"/>
      <w:r w:rsidRPr="00A4651C">
        <w:rPr>
          <w:lang w:val="tr-TR" w:eastAsia="tr-TR"/>
        </w:rPr>
        <w:t>:</w:t>
      </w:r>
    </w:p>
    <w:p w:rsidR="00FE15CE" w:rsidRPr="00A4651C" w:rsidRDefault="00FE15CE" w:rsidP="00FE15CE">
      <w:pPr>
        <w:spacing w:line="276" w:lineRule="auto"/>
        <w:jc w:val="both"/>
        <w:rPr>
          <w:lang w:val="tr-TR" w:eastAsia="tr-TR"/>
        </w:rPr>
      </w:pPr>
      <w:r w:rsidRPr="00A4651C">
        <w:rPr>
          <w:lang w:val="tr-TR" w:eastAsia="tr-TR"/>
        </w:rPr>
        <w:t>Herhangi bir NSAİİ gibi, yaşlı hastaların tedavisinde dikkatli olunmalıdır (65 yaş ve üzeri).</w:t>
      </w:r>
    </w:p>
    <w:p w:rsidR="00622D4B" w:rsidRPr="00A4651C" w:rsidRDefault="00622D4B" w:rsidP="0088131E">
      <w:pPr>
        <w:spacing w:line="276" w:lineRule="auto"/>
        <w:jc w:val="both"/>
        <w:rPr>
          <w:b/>
        </w:rPr>
      </w:pPr>
    </w:p>
    <w:p w:rsidR="004F5426" w:rsidRPr="00A4651C" w:rsidRDefault="004F5426" w:rsidP="0088131E">
      <w:pPr>
        <w:spacing w:line="276" w:lineRule="auto"/>
        <w:jc w:val="both"/>
        <w:rPr>
          <w:b/>
        </w:rPr>
      </w:pPr>
      <w:r w:rsidRPr="00A4651C">
        <w:rPr>
          <w:b/>
        </w:rPr>
        <w:t xml:space="preserve">4.6. Gebelik ve laktasyon </w:t>
      </w:r>
    </w:p>
    <w:p w:rsidR="00FE15CE" w:rsidRPr="00A4651C" w:rsidRDefault="00FE15CE" w:rsidP="00FE15CE">
      <w:pPr>
        <w:spacing w:line="276" w:lineRule="auto"/>
        <w:jc w:val="both"/>
        <w:rPr>
          <w:lang w:val="tr-TR"/>
        </w:rPr>
      </w:pPr>
      <w:r w:rsidRPr="00A4651C">
        <w:rPr>
          <w:b/>
          <w:bCs/>
          <w:lang w:val="tr-TR"/>
        </w:rPr>
        <w:t>Genel tavsiye</w:t>
      </w:r>
    </w:p>
    <w:p w:rsidR="00FE15CE" w:rsidRPr="00A4651C" w:rsidRDefault="00FE15CE" w:rsidP="00FE15CE">
      <w:pPr>
        <w:spacing w:line="276" w:lineRule="auto"/>
        <w:jc w:val="both"/>
        <w:rPr>
          <w:lang w:val="tr-TR"/>
        </w:rPr>
      </w:pPr>
      <w:r w:rsidRPr="00A4651C">
        <w:rPr>
          <w:lang w:val="tr-TR"/>
        </w:rPr>
        <w:t xml:space="preserve">Gebelik kategorisi 1. ve 2. </w:t>
      </w:r>
      <w:proofErr w:type="spellStart"/>
      <w:r w:rsidRPr="00A4651C">
        <w:rPr>
          <w:lang w:val="tr-TR"/>
        </w:rPr>
        <w:t>trimesterde</w:t>
      </w:r>
      <w:proofErr w:type="spellEnd"/>
      <w:r w:rsidRPr="00A4651C">
        <w:rPr>
          <w:lang w:val="tr-TR"/>
        </w:rPr>
        <w:t xml:space="preserve"> C, 3. </w:t>
      </w:r>
      <w:proofErr w:type="spellStart"/>
      <w:r w:rsidRPr="00A4651C">
        <w:rPr>
          <w:lang w:val="tr-TR"/>
        </w:rPr>
        <w:t>trimesterde</w:t>
      </w:r>
      <w:proofErr w:type="spellEnd"/>
      <w:r w:rsidRPr="00A4651C">
        <w:rPr>
          <w:lang w:val="tr-TR"/>
        </w:rPr>
        <w:t xml:space="preserve"> </w:t>
      </w:r>
      <w:proofErr w:type="spellStart"/>
      <w:r w:rsidRPr="00A4651C">
        <w:rPr>
          <w:lang w:val="tr-TR"/>
        </w:rPr>
        <w:t>D’dir</w:t>
      </w:r>
      <w:proofErr w:type="spellEnd"/>
      <w:r w:rsidRPr="00A4651C">
        <w:rPr>
          <w:lang w:val="tr-TR"/>
        </w:rPr>
        <w:t>.</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b/>
          <w:bCs/>
          <w:lang w:val="tr-TR"/>
        </w:rPr>
        <w:t>Çocuk doğurma potansiyeli bulunan kadınlar/Doğum kontrolü (Kontrasepsiyon)</w:t>
      </w:r>
    </w:p>
    <w:p w:rsidR="00FE15CE" w:rsidRPr="00A4651C" w:rsidRDefault="00FE15CE" w:rsidP="00FE15CE">
      <w:pPr>
        <w:spacing w:line="276" w:lineRule="auto"/>
        <w:jc w:val="both"/>
        <w:rPr>
          <w:lang w:val="tr-TR"/>
        </w:rPr>
      </w:pPr>
      <w:r w:rsidRPr="00A4651C">
        <w:rPr>
          <w:lang w:val="tr-TR"/>
        </w:rPr>
        <w:t>Hamile kalmayı planlayan kadınlarda kullanılmamalıdır.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b/>
          <w:bCs/>
          <w:lang w:val="tr-TR"/>
        </w:rPr>
        <w:t>Gebelik dönemi</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için gebeliğin 1. ve 2 </w:t>
      </w:r>
      <w:proofErr w:type="spellStart"/>
      <w:r w:rsidRPr="00A4651C">
        <w:rPr>
          <w:lang w:val="tr-TR"/>
        </w:rPr>
        <w:t>trimesterinde</w:t>
      </w:r>
      <w:proofErr w:type="spellEnd"/>
      <w:r w:rsidRPr="00A4651C">
        <w:rPr>
          <w:lang w:val="tr-TR"/>
        </w:rPr>
        <w:t>, gebe kadınlarda kullanımına ilişkin yeterli veri mevcut değildir.</w:t>
      </w:r>
    </w:p>
    <w:p w:rsidR="00FE15CE" w:rsidRPr="00A4651C" w:rsidRDefault="00FE15CE" w:rsidP="00FE15CE">
      <w:pPr>
        <w:spacing w:line="276" w:lineRule="auto"/>
        <w:jc w:val="both"/>
        <w:rPr>
          <w:lang w:val="tr-TR"/>
        </w:rPr>
      </w:pPr>
      <w:r w:rsidRPr="00A4651C">
        <w:rPr>
          <w:lang w:val="tr-TR"/>
        </w:rPr>
        <w:t>Hayvanlar üzerinde yapılan araştırmalar üreme toksisitesinin bulunduğunu göstermiştir. İnsanlara yönelik potansiyel risk bilinmemektedir.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için gebeliğin 3. </w:t>
      </w:r>
      <w:proofErr w:type="spellStart"/>
      <w:r w:rsidRPr="00A4651C">
        <w:rPr>
          <w:lang w:val="tr-TR"/>
        </w:rPr>
        <w:t>trimesterinde</w:t>
      </w:r>
      <w:proofErr w:type="spellEnd"/>
      <w:r w:rsidRPr="00A4651C">
        <w:rPr>
          <w:lang w:val="tr-TR"/>
        </w:rPr>
        <w:t xml:space="preserve"> gebelik ve/veya </w:t>
      </w:r>
      <w:proofErr w:type="spellStart"/>
      <w:r w:rsidRPr="00A4651C">
        <w:rPr>
          <w:lang w:val="tr-TR"/>
        </w:rPr>
        <w:t>fetus</w:t>
      </w:r>
      <w:proofErr w:type="spellEnd"/>
      <w:r w:rsidRPr="00A4651C">
        <w:rPr>
          <w:lang w:val="tr-TR"/>
        </w:rPr>
        <w:t>/yeni doğan üzerinde zararlı farmakolojik etkileri bulunmaktadır.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APRALJİN FORTE gerekli olmadıkça (doktor kesin olarak gerekli görmedikçe) gebelik döneminde kullanılmamalıdır.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Gebe kadınlara verilirken tedbirli olunmalıdır.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 xml:space="preserve">Bu tip diğer ilaçlar ile olduğu gibi, </w:t>
      </w:r>
      <w:proofErr w:type="spellStart"/>
      <w:r w:rsidRPr="00A4651C">
        <w:rPr>
          <w:lang w:val="tr-TR"/>
        </w:rPr>
        <w:t>naproksen</w:t>
      </w:r>
      <w:proofErr w:type="spellEnd"/>
      <w:r w:rsidRPr="00A4651C">
        <w:rPr>
          <w:lang w:val="tr-TR"/>
        </w:rPr>
        <w:t xml:space="preserve"> hayvanlarda doğumda bir gecikme oluşturmaktadır ve ayrıca insan </w:t>
      </w:r>
      <w:proofErr w:type="spellStart"/>
      <w:r w:rsidRPr="00A4651C">
        <w:rPr>
          <w:lang w:val="tr-TR"/>
        </w:rPr>
        <w:t>fötusu</w:t>
      </w:r>
      <w:proofErr w:type="spellEnd"/>
      <w:r w:rsidRPr="00A4651C">
        <w:rPr>
          <w:lang w:val="tr-TR"/>
        </w:rPr>
        <w:t xml:space="preserve"> </w:t>
      </w:r>
      <w:proofErr w:type="spellStart"/>
      <w:r w:rsidRPr="00A4651C">
        <w:rPr>
          <w:lang w:val="tr-TR"/>
        </w:rPr>
        <w:t>kardiyovasküler</w:t>
      </w:r>
      <w:proofErr w:type="spellEnd"/>
      <w:r w:rsidRPr="00A4651C">
        <w:rPr>
          <w:lang w:val="tr-TR"/>
        </w:rPr>
        <w:t xml:space="preserve"> sistemini etkilemektedir (</w:t>
      </w:r>
      <w:proofErr w:type="spellStart"/>
      <w:r w:rsidRPr="00A4651C">
        <w:rPr>
          <w:lang w:val="tr-TR"/>
        </w:rPr>
        <w:t>ductus</w:t>
      </w:r>
      <w:proofErr w:type="spellEnd"/>
      <w:r w:rsidRPr="00A4651C">
        <w:rPr>
          <w:lang w:val="tr-TR"/>
        </w:rPr>
        <w:t xml:space="preserve"> </w:t>
      </w:r>
      <w:proofErr w:type="spellStart"/>
      <w:r w:rsidRPr="00A4651C">
        <w:rPr>
          <w:lang w:val="tr-TR"/>
        </w:rPr>
        <w:t>arteriosus</w:t>
      </w:r>
      <w:proofErr w:type="spellEnd"/>
      <w:r w:rsidRPr="00A4651C">
        <w:rPr>
          <w:lang w:val="tr-TR"/>
        </w:rPr>
        <w:t xml:space="preserve"> kapanması). Dolayısıyla, APRALJİN FORTE kesin olarak gerekli değil ise, gebelik sırasında kullanılmamalıdır.</w:t>
      </w:r>
    </w:p>
    <w:p w:rsidR="00FE15CE" w:rsidRPr="00A4651C" w:rsidRDefault="00FE15CE" w:rsidP="00FE15CE">
      <w:pPr>
        <w:spacing w:line="276" w:lineRule="auto"/>
        <w:jc w:val="both"/>
        <w:rPr>
          <w:lang w:val="tr-TR"/>
        </w:rPr>
      </w:pPr>
      <w:r w:rsidRPr="00A4651C">
        <w:rPr>
          <w:lang w:val="tr-TR"/>
        </w:rPr>
        <w:t xml:space="preserve">APRALJİN FORTE doğum sırasında önerilmemektedir, çünkü </w:t>
      </w:r>
      <w:proofErr w:type="spellStart"/>
      <w:r w:rsidRPr="00A4651C">
        <w:rPr>
          <w:lang w:val="tr-TR"/>
        </w:rPr>
        <w:t>prostaglandin</w:t>
      </w:r>
      <w:proofErr w:type="spellEnd"/>
      <w:r w:rsidRPr="00A4651C">
        <w:rPr>
          <w:lang w:val="tr-TR"/>
        </w:rPr>
        <w:t xml:space="preserve"> sentezi </w:t>
      </w:r>
      <w:proofErr w:type="spellStart"/>
      <w:r w:rsidRPr="00A4651C">
        <w:rPr>
          <w:lang w:val="tr-TR"/>
        </w:rPr>
        <w:t>inhibisyonu</w:t>
      </w:r>
      <w:proofErr w:type="spellEnd"/>
      <w:r w:rsidRPr="00A4651C">
        <w:rPr>
          <w:lang w:val="tr-TR"/>
        </w:rPr>
        <w:t xml:space="preserve"> etkileri yoluyla, </w:t>
      </w:r>
      <w:proofErr w:type="spellStart"/>
      <w:r w:rsidRPr="00A4651C">
        <w:rPr>
          <w:lang w:val="tr-TR"/>
        </w:rPr>
        <w:t>fötus</w:t>
      </w:r>
      <w:proofErr w:type="spellEnd"/>
      <w:r w:rsidRPr="00A4651C">
        <w:rPr>
          <w:lang w:val="tr-TR"/>
        </w:rPr>
        <w:t xml:space="preserve"> kan dolaşımını istenmeyen bir şekilde etkileyebilirler ve </w:t>
      </w:r>
      <w:proofErr w:type="spellStart"/>
      <w:r w:rsidRPr="00A4651C">
        <w:rPr>
          <w:lang w:val="tr-TR"/>
        </w:rPr>
        <w:t>uterus</w:t>
      </w:r>
      <w:proofErr w:type="spellEnd"/>
      <w:r w:rsidRPr="00A4651C">
        <w:rPr>
          <w:lang w:val="tr-TR"/>
        </w:rPr>
        <w:t xml:space="preserve"> kasılmalarını </w:t>
      </w:r>
      <w:proofErr w:type="spellStart"/>
      <w:r w:rsidRPr="00A4651C">
        <w:rPr>
          <w:lang w:val="tr-TR"/>
        </w:rPr>
        <w:t>inhibe</w:t>
      </w:r>
      <w:proofErr w:type="spellEnd"/>
      <w:r w:rsidRPr="00A4651C">
        <w:rPr>
          <w:lang w:val="tr-TR"/>
        </w:rPr>
        <w:t xml:space="preserve"> edebilirler, böylece </w:t>
      </w:r>
      <w:proofErr w:type="spellStart"/>
      <w:r w:rsidRPr="00A4651C">
        <w:rPr>
          <w:lang w:val="tr-TR"/>
        </w:rPr>
        <w:t>uterusta</w:t>
      </w:r>
      <w:proofErr w:type="spellEnd"/>
      <w:r w:rsidRPr="00A4651C">
        <w:rPr>
          <w:lang w:val="tr-TR"/>
        </w:rPr>
        <w:t xml:space="preserve"> kanama riskini artırırlar.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b/>
          <w:bCs/>
          <w:lang w:val="tr-TR"/>
        </w:rPr>
        <w:t>Laktasyon dönemi</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anyonu, emziren annelerin sütünde, plazmada bulunan </w:t>
      </w:r>
      <w:proofErr w:type="gramStart"/>
      <w:r w:rsidRPr="00A4651C">
        <w:rPr>
          <w:lang w:val="tr-TR"/>
        </w:rPr>
        <w:t>konsantrasyonun</w:t>
      </w:r>
      <w:proofErr w:type="gramEnd"/>
      <w:r w:rsidRPr="00A4651C">
        <w:rPr>
          <w:lang w:val="tr-TR"/>
        </w:rPr>
        <w:t xml:space="preserve"> yaklaşık</w:t>
      </w:r>
    </w:p>
    <w:p w:rsidR="00FE15CE" w:rsidRPr="00A4651C" w:rsidRDefault="00FE15CE" w:rsidP="00FE15CE">
      <w:pPr>
        <w:spacing w:line="276" w:lineRule="auto"/>
        <w:jc w:val="both"/>
        <w:rPr>
          <w:lang w:val="tr-TR"/>
        </w:rPr>
      </w:pPr>
      <w:r w:rsidRPr="00A4651C">
        <w:rPr>
          <w:lang w:val="tr-TR"/>
        </w:rPr>
        <w:t xml:space="preserve">%1 </w:t>
      </w:r>
      <w:proofErr w:type="gramStart"/>
      <w:r w:rsidRPr="00A4651C">
        <w:rPr>
          <w:lang w:val="tr-TR"/>
        </w:rPr>
        <w:t>konsantrasyonunda</w:t>
      </w:r>
      <w:proofErr w:type="gramEnd"/>
      <w:r w:rsidRPr="00A4651C">
        <w:rPr>
          <w:lang w:val="tr-TR"/>
        </w:rPr>
        <w:t xml:space="preserve"> bulunmuştur. </w:t>
      </w:r>
      <w:proofErr w:type="spellStart"/>
      <w:r w:rsidRPr="00A4651C">
        <w:rPr>
          <w:lang w:val="tr-TR"/>
        </w:rPr>
        <w:t>Prostaglandinleri</w:t>
      </w:r>
      <w:proofErr w:type="spellEnd"/>
      <w:r w:rsidRPr="00A4651C">
        <w:rPr>
          <w:lang w:val="tr-TR"/>
        </w:rPr>
        <w:t xml:space="preserve"> </w:t>
      </w:r>
      <w:proofErr w:type="spellStart"/>
      <w:r w:rsidRPr="00A4651C">
        <w:rPr>
          <w:lang w:val="tr-TR"/>
        </w:rPr>
        <w:t>inhibe</w:t>
      </w:r>
      <w:proofErr w:type="spellEnd"/>
      <w:r w:rsidRPr="00A4651C">
        <w:rPr>
          <w:lang w:val="tr-TR"/>
        </w:rPr>
        <w:t xml:space="preserve"> eden ilaçların yeni doğanlar üzerindeki olası istenmeyen etkileri nedeniyle, emziren annelerde kullanılması önerilmemektedir.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b/>
          <w:bCs/>
          <w:lang w:val="tr-TR"/>
        </w:rPr>
        <w:t>Üreme yeteneği / Fertilite</w:t>
      </w:r>
    </w:p>
    <w:p w:rsidR="00FE15CE" w:rsidRPr="00A4651C" w:rsidRDefault="00FE15CE" w:rsidP="00FE15CE">
      <w:pPr>
        <w:spacing w:line="276" w:lineRule="auto"/>
        <w:jc w:val="both"/>
        <w:rPr>
          <w:lang w:val="tr-TR"/>
        </w:rPr>
      </w:pPr>
      <w:proofErr w:type="spellStart"/>
      <w:r w:rsidRPr="00A4651C">
        <w:rPr>
          <w:lang w:val="tr-TR"/>
        </w:rPr>
        <w:t>Siklooksijenaz</w:t>
      </w:r>
      <w:proofErr w:type="spellEnd"/>
      <w:r w:rsidRPr="00A4651C">
        <w:rPr>
          <w:lang w:val="tr-TR"/>
        </w:rPr>
        <w:t>/</w:t>
      </w:r>
      <w:proofErr w:type="spellStart"/>
      <w:r w:rsidRPr="00A4651C">
        <w:rPr>
          <w:lang w:val="tr-TR"/>
        </w:rPr>
        <w:t>prostaglandin</w:t>
      </w:r>
      <w:proofErr w:type="spellEnd"/>
      <w:r w:rsidRPr="00A4651C">
        <w:rPr>
          <w:lang w:val="tr-TR"/>
        </w:rPr>
        <w:t xml:space="preserve"> sentezini </w:t>
      </w:r>
      <w:proofErr w:type="spellStart"/>
      <w:r w:rsidRPr="00A4651C">
        <w:rPr>
          <w:lang w:val="tr-TR"/>
        </w:rPr>
        <w:t>inhibe</w:t>
      </w:r>
      <w:proofErr w:type="spellEnd"/>
      <w:r w:rsidRPr="00A4651C">
        <w:rPr>
          <w:lang w:val="tr-TR"/>
        </w:rPr>
        <w:t xml:space="preserve"> ettiği bilinen herhangi bir ilaç ile olduğu gibi, APRALJİN FORTE kullanımı </w:t>
      </w:r>
      <w:proofErr w:type="spellStart"/>
      <w:r w:rsidRPr="00A4651C">
        <w:rPr>
          <w:lang w:val="tr-TR"/>
        </w:rPr>
        <w:t>fertiliteyi</w:t>
      </w:r>
      <w:proofErr w:type="spellEnd"/>
      <w:r w:rsidRPr="00A4651C">
        <w:rPr>
          <w:lang w:val="tr-TR"/>
        </w:rPr>
        <w:t xml:space="preserve"> bozabilir ve hamile kalmayı planlayan kadınlarda kullanılmamalıdır. Gebe kalma güçlüğü olan veya kısırlık incelemeleri yapılan kadınlarda, </w:t>
      </w:r>
      <w:r w:rsidR="00CF4EDE" w:rsidRPr="00A4651C">
        <w:rPr>
          <w:lang w:val="tr-TR"/>
        </w:rPr>
        <w:t xml:space="preserve">APRALJİN </w:t>
      </w:r>
      <w:proofErr w:type="spellStart"/>
      <w:r w:rsidR="00CF4EDE" w:rsidRPr="00A4651C">
        <w:rPr>
          <w:lang w:val="tr-TR"/>
        </w:rPr>
        <w:t>FORTE’un</w:t>
      </w:r>
      <w:proofErr w:type="spellEnd"/>
      <w:r w:rsidRPr="00A4651C">
        <w:rPr>
          <w:lang w:val="tr-TR"/>
        </w:rPr>
        <w:t xml:space="preserve"> kesilmesi düşünülmelidir.</w:t>
      </w:r>
    </w:p>
    <w:p w:rsidR="00FE15CE" w:rsidRPr="00A4651C" w:rsidRDefault="00FE15CE" w:rsidP="0088131E">
      <w:pPr>
        <w:spacing w:line="276" w:lineRule="auto"/>
        <w:jc w:val="both"/>
      </w:pPr>
    </w:p>
    <w:p w:rsidR="004F5426" w:rsidRPr="00A4651C" w:rsidRDefault="004F5426" w:rsidP="0088131E">
      <w:pPr>
        <w:spacing w:line="276" w:lineRule="auto"/>
        <w:jc w:val="both"/>
        <w:rPr>
          <w:b/>
        </w:rPr>
      </w:pPr>
      <w:r w:rsidRPr="00A4651C">
        <w:rPr>
          <w:b/>
        </w:rPr>
        <w:t>4.7. Araç ve makine kullanımı üzerindeki etkiler</w:t>
      </w:r>
    </w:p>
    <w:p w:rsidR="00EE1D76" w:rsidRPr="00A4651C" w:rsidRDefault="00EE1D76"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 xml:space="preserve">APRALJİN FORTE kullanımı ile birlikte bazı hastalarda sersemlik, baş dönmesi, </w:t>
      </w:r>
      <w:proofErr w:type="spellStart"/>
      <w:r w:rsidRPr="00A4651C">
        <w:rPr>
          <w:lang w:val="tr-TR"/>
        </w:rPr>
        <w:t>vertigo</w:t>
      </w:r>
      <w:proofErr w:type="spellEnd"/>
      <w:r w:rsidRPr="00A4651C">
        <w:rPr>
          <w:lang w:val="tr-TR"/>
        </w:rPr>
        <w:t xml:space="preserve">, </w:t>
      </w:r>
      <w:proofErr w:type="spellStart"/>
      <w:r w:rsidRPr="00A4651C">
        <w:rPr>
          <w:lang w:val="tr-TR"/>
        </w:rPr>
        <w:t>insomnia</w:t>
      </w:r>
      <w:proofErr w:type="spellEnd"/>
      <w:r w:rsidRPr="00A4651C">
        <w:rPr>
          <w:lang w:val="tr-TR"/>
        </w:rPr>
        <w:t xml:space="preserve"> ya da depresyon olabilir. Hastalarda bu ve benzeri istenmeyen etkiler görülür ise, dikkat gerektiren aktiviteleri yaparken dikkatli olmalıdırlar.</w:t>
      </w:r>
    </w:p>
    <w:p w:rsidR="004F5426" w:rsidRPr="00A4651C" w:rsidRDefault="004F5426" w:rsidP="0088131E">
      <w:pPr>
        <w:spacing w:line="276" w:lineRule="auto"/>
        <w:jc w:val="both"/>
      </w:pPr>
    </w:p>
    <w:p w:rsidR="004F5426" w:rsidRPr="00A4651C" w:rsidRDefault="004F5426" w:rsidP="0088131E">
      <w:pPr>
        <w:spacing w:line="276" w:lineRule="auto"/>
        <w:jc w:val="both"/>
        <w:rPr>
          <w:b/>
          <w:lang w:val="tr-TR"/>
        </w:rPr>
      </w:pPr>
      <w:r w:rsidRPr="00A4651C">
        <w:rPr>
          <w:b/>
          <w:lang w:val="tr-TR"/>
        </w:rPr>
        <w:t>4.8. İstenmeyen etkiler</w:t>
      </w:r>
    </w:p>
    <w:p w:rsidR="00EE1D76" w:rsidRPr="00A4651C" w:rsidRDefault="00EE1D76"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ile gözlenen yan etkiler, vücut sistemlerinde aşağıdaki gibi sınıflandırılmıştır, çok yaygın (≥1/10); yaygın (≥1/100 ila &lt;1/10); yaygın olmayan (≥1/1000 ila &lt;1/100); seyrek (≥1/10.000 ila &lt;1/1.000); çok seyrek (&lt;1/10.000), bilinmiyor (eldeki verilerden hareketle tahmin edilemiyor)</w:t>
      </w:r>
    </w:p>
    <w:p w:rsidR="00FE15CE" w:rsidRPr="00A4651C" w:rsidRDefault="00FE15CE" w:rsidP="00FE15CE">
      <w:pPr>
        <w:spacing w:line="276" w:lineRule="auto"/>
        <w:jc w:val="both"/>
        <w:rPr>
          <w:lang w:val="tr-TR"/>
        </w:rPr>
      </w:pPr>
    </w:p>
    <w:p w:rsidR="00FE15CE" w:rsidRPr="00A4651C" w:rsidRDefault="00FE15CE" w:rsidP="00FE15CE">
      <w:pPr>
        <w:tabs>
          <w:tab w:val="left" w:pos="1843"/>
        </w:tabs>
        <w:spacing w:line="276" w:lineRule="auto"/>
        <w:ind w:left="1843" w:hanging="1843"/>
        <w:jc w:val="both"/>
        <w:rPr>
          <w:lang w:val="tr-TR"/>
        </w:rPr>
      </w:pPr>
      <w:r w:rsidRPr="00A4651C">
        <w:rPr>
          <w:b/>
          <w:bCs/>
          <w:lang w:val="tr-TR"/>
        </w:rPr>
        <w:t>Enfeksiyonlar ve enfestasyonlar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Aseptik menenjit</w:t>
      </w:r>
    </w:p>
    <w:p w:rsidR="00FE15CE" w:rsidRPr="00A4651C" w:rsidRDefault="00FE15CE" w:rsidP="00FE15CE">
      <w:pPr>
        <w:tabs>
          <w:tab w:val="left" w:pos="1843"/>
        </w:tabs>
        <w:spacing w:line="276" w:lineRule="auto"/>
        <w:ind w:left="1843" w:hanging="1843"/>
        <w:jc w:val="both"/>
        <w:rPr>
          <w:lang w:val="tr-TR"/>
        </w:rPr>
      </w:pPr>
      <w:r w:rsidRPr="00A4651C">
        <w:rPr>
          <w:b/>
          <w:bCs/>
          <w:lang w:val="tr-TR"/>
        </w:rPr>
        <w:t>Kan ve lenf sistemi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r>
      <w:proofErr w:type="spellStart"/>
      <w:r w:rsidRPr="00A4651C">
        <w:rPr>
          <w:lang w:val="tr-TR"/>
        </w:rPr>
        <w:t>Hemolitik</w:t>
      </w:r>
      <w:proofErr w:type="spellEnd"/>
      <w:r w:rsidRPr="00A4651C">
        <w:rPr>
          <w:lang w:val="tr-TR"/>
        </w:rPr>
        <w:t xml:space="preserve"> anemi</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Aplastik</w:t>
      </w:r>
      <w:proofErr w:type="spellEnd"/>
      <w:r w:rsidRPr="00A4651C">
        <w:rPr>
          <w:lang w:val="tr-TR"/>
        </w:rPr>
        <w:t xml:space="preserve"> anemi, </w:t>
      </w:r>
      <w:proofErr w:type="spellStart"/>
      <w:r w:rsidRPr="00A4651C">
        <w:rPr>
          <w:lang w:val="tr-TR"/>
        </w:rPr>
        <w:t>lökopeni</w:t>
      </w:r>
      <w:proofErr w:type="spellEnd"/>
      <w:r w:rsidRPr="00A4651C">
        <w:rPr>
          <w:lang w:val="tr-TR"/>
        </w:rPr>
        <w:t xml:space="preserve">, </w:t>
      </w:r>
      <w:proofErr w:type="spellStart"/>
      <w:r w:rsidRPr="00A4651C">
        <w:rPr>
          <w:lang w:val="tr-TR"/>
        </w:rPr>
        <w:t>trombositopeni</w:t>
      </w:r>
      <w:proofErr w:type="spellEnd"/>
      <w:r w:rsidRPr="00A4651C">
        <w:rPr>
          <w:lang w:val="tr-TR"/>
        </w:rPr>
        <w:t xml:space="preserve"> </w:t>
      </w:r>
      <w:proofErr w:type="spellStart"/>
      <w:r w:rsidRPr="00A4651C">
        <w:rPr>
          <w:lang w:val="tr-TR"/>
        </w:rPr>
        <w:t>agranülositoz</w:t>
      </w:r>
      <w:proofErr w:type="spellEnd"/>
      <w:r w:rsidRPr="00A4651C">
        <w:rPr>
          <w:lang w:val="tr-TR"/>
        </w:rPr>
        <w:t xml:space="preserve">, </w:t>
      </w:r>
      <w:proofErr w:type="spellStart"/>
      <w:r w:rsidRPr="00A4651C">
        <w:rPr>
          <w:lang w:val="tr-TR"/>
        </w:rPr>
        <w:t>eozinofili</w:t>
      </w:r>
      <w:proofErr w:type="spellEnd"/>
    </w:p>
    <w:p w:rsidR="00FE15CE" w:rsidRPr="00A4651C" w:rsidRDefault="00FE15CE" w:rsidP="00FE15CE">
      <w:pPr>
        <w:tabs>
          <w:tab w:val="left" w:pos="1843"/>
        </w:tabs>
        <w:spacing w:line="276" w:lineRule="auto"/>
        <w:ind w:left="1843" w:hanging="1843"/>
        <w:jc w:val="both"/>
        <w:rPr>
          <w:lang w:val="tr-TR"/>
        </w:rPr>
      </w:pPr>
      <w:r w:rsidRPr="00A4651C">
        <w:rPr>
          <w:b/>
          <w:bCs/>
          <w:lang w:val="tr-TR"/>
        </w:rPr>
        <w:t>Bağışıklık sistemi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Anaflaktoid</w:t>
      </w:r>
      <w:proofErr w:type="spellEnd"/>
      <w:r w:rsidRPr="00A4651C">
        <w:rPr>
          <w:lang w:val="tr-TR"/>
        </w:rPr>
        <w:t xml:space="preserve"> reaksiyonlar</w:t>
      </w:r>
    </w:p>
    <w:p w:rsidR="00FE15CE" w:rsidRPr="00A4651C" w:rsidRDefault="00FE15CE" w:rsidP="00FE15CE">
      <w:pPr>
        <w:tabs>
          <w:tab w:val="left" w:pos="1843"/>
        </w:tabs>
        <w:spacing w:line="276" w:lineRule="auto"/>
        <w:ind w:left="1843" w:hanging="1843"/>
        <w:jc w:val="both"/>
        <w:rPr>
          <w:lang w:val="tr-TR"/>
        </w:rPr>
      </w:pPr>
      <w:r w:rsidRPr="00A4651C">
        <w:rPr>
          <w:b/>
          <w:bCs/>
          <w:lang w:val="tr-TR"/>
        </w:rPr>
        <w:t>Metabolizma ve beslenme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Hiperkalemi</w:t>
      </w:r>
      <w:proofErr w:type="spellEnd"/>
    </w:p>
    <w:p w:rsidR="00FE15CE" w:rsidRPr="00A4651C" w:rsidRDefault="00FE15CE" w:rsidP="00FE15CE">
      <w:pPr>
        <w:tabs>
          <w:tab w:val="left" w:pos="1843"/>
        </w:tabs>
        <w:spacing w:line="276" w:lineRule="auto"/>
        <w:ind w:left="1843" w:hanging="1843"/>
        <w:jc w:val="both"/>
        <w:rPr>
          <w:lang w:val="tr-TR"/>
        </w:rPr>
      </w:pPr>
      <w:r w:rsidRPr="00A4651C">
        <w:rPr>
          <w:b/>
          <w:bCs/>
          <w:lang w:val="tr-TR"/>
        </w:rPr>
        <w:t>Psikiyatrik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Depresyon, uyku bozukluğu, uykusuzluk</w:t>
      </w:r>
      <w:r w:rsidR="00187F04" w:rsidRPr="00A4651C">
        <w:rPr>
          <w:lang w:val="tr-TR"/>
        </w:rPr>
        <w:t xml:space="preserve">, </w:t>
      </w:r>
      <w:proofErr w:type="spellStart"/>
      <w:r w:rsidR="00187F04" w:rsidRPr="00A4651C">
        <w:rPr>
          <w:lang w:val="tr-TR"/>
        </w:rPr>
        <w:t>konfüzyon</w:t>
      </w:r>
      <w:proofErr w:type="spellEnd"/>
      <w:r w:rsidR="00187F04" w:rsidRPr="00A4651C">
        <w:rPr>
          <w:lang w:val="tr-TR"/>
        </w:rPr>
        <w:t xml:space="preserve">, </w:t>
      </w:r>
      <w:proofErr w:type="gramStart"/>
      <w:r w:rsidR="00187F04" w:rsidRPr="00A4651C">
        <w:rPr>
          <w:lang w:val="tr-TR"/>
        </w:rPr>
        <w:t>halüsinasyon</w:t>
      </w:r>
      <w:proofErr w:type="gramEnd"/>
    </w:p>
    <w:p w:rsidR="00FE15CE" w:rsidRPr="00A4651C" w:rsidRDefault="00FE15CE" w:rsidP="00FE15CE">
      <w:pPr>
        <w:tabs>
          <w:tab w:val="left" w:pos="1843"/>
        </w:tabs>
        <w:spacing w:line="276" w:lineRule="auto"/>
        <w:ind w:left="1843" w:hanging="1843"/>
        <w:jc w:val="both"/>
        <w:rPr>
          <w:lang w:val="tr-TR"/>
        </w:rPr>
      </w:pPr>
      <w:r w:rsidRPr="00A4651C">
        <w:rPr>
          <w:b/>
          <w:bCs/>
          <w:lang w:val="tr-TR"/>
        </w:rPr>
        <w:t>Sinir sistemi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 xml:space="preserve">Baş dönmesi, rehavet hali, </w:t>
      </w:r>
      <w:proofErr w:type="spellStart"/>
      <w:r w:rsidRPr="00A4651C">
        <w:rPr>
          <w:lang w:val="tr-TR"/>
        </w:rPr>
        <w:t>başağrısı</w:t>
      </w:r>
      <w:proofErr w:type="spellEnd"/>
      <w:r w:rsidRPr="00A4651C">
        <w:rPr>
          <w:lang w:val="tr-TR"/>
        </w:rPr>
        <w:t xml:space="preserve">, ışığa hassasiyet, </w:t>
      </w:r>
      <w:proofErr w:type="spellStart"/>
      <w:r w:rsidRPr="00A4651C">
        <w:rPr>
          <w:lang w:val="tr-TR"/>
        </w:rPr>
        <w:t>retrobulbar</w:t>
      </w:r>
      <w:proofErr w:type="spellEnd"/>
      <w:r w:rsidRPr="00A4651C">
        <w:rPr>
          <w:lang w:val="tr-TR"/>
        </w:rPr>
        <w:t xml:space="preserve"> optik </w:t>
      </w:r>
      <w:proofErr w:type="spellStart"/>
      <w:r w:rsidRPr="00A4651C">
        <w:rPr>
          <w:lang w:val="tr-TR"/>
        </w:rPr>
        <w:t>nevrit</w:t>
      </w:r>
      <w:proofErr w:type="spellEnd"/>
      <w:r w:rsidRPr="00A4651C">
        <w:rPr>
          <w:lang w:val="tr-TR"/>
        </w:rPr>
        <w:t xml:space="preserve">, </w:t>
      </w:r>
      <w:proofErr w:type="gramStart"/>
      <w:r w:rsidRPr="00A4651C">
        <w:rPr>
          <w:lang w:val="tr-TR"/>
        </w:rPr>
        <w:t>konsantrasyon</w:t>
      </w:r>
      <w:proofErr w:type="gramEnd"/>
      <w:r w:rsidRPr="00A4651C">
        <w:rPr>
          <w:lang w:val="tr-TR"/>
        </w:rPr>
        <w:t xml:space="preserve"> bozukluğu</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Konvülsiyonlar</w:t>
      </w:r>
      <w:proofErr w:type="spellEnd"/>
      <w:r w:rsidRPr="00A4651C">
        <w:rPr>
          <w:lang w:val="tr-TR"/>
        </w:rPr>
        <w:t xml:space="preserve">, zihinsel </w:t>
      </w:r>
      <w:proofErr w:type="spellStart"/>
      <w:r w:rsidRPr="00A4651C">
        <w:rPr>
          <w:lang w:val="tr-TR"/>
        </w:rPr>
        <w:t>disfonksiyon</w:t>
      </w:r>
      <w:proofErr w:type="spellEnd"/>
    </w:p>
    <w:p w:rsidR="00FE15CE" w:rsidRPr="00A4651C" w:rsidRDefault="00FE15CE" w:rsidP="00FE15CE">
      <w:pPr>
        <w:tabs>
          <w:tab w:val="left" w:pos="1843"/>
        </w:tabs>
        <w:spacing w:line="276" w:lineRule="auto"/>
        <w:ind w:left="1843" w:hanging="1843"/>
        <w:jc w:val="both"/>
        <w:rPr>
          <w:lang w:val="tr-TR"/>
        </w:rPr>
      </w:pPr>
      <w:r w:rsidRPr="00A4651C">
        <w:rPr>
          <w:b/>
          <w:bCs/>
          <w:lang w:val="tr-TR"/>
        </w:rPr>
        <w:t>Göz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 xml:space="preserve">Görmede bulanıklık, </w:t>
      </w:r>
      <w:proofErr w:type="spellStart"/>
      <w:r w:rsidRPr="00A4651C">
        <w:rPr>
          <w:lang w:val="tr-TR"/>
        </w:rPr>
        <w:t>korneal</w:t>
      </w:r>
      <w:proofErr w:type="spellEnd"/>
      <w:r w:rsidRPr="00A4651C">
        <w:rPr>
          <w:lang w:val="tr-TR"/>
        </w:rPr>
        <w:t xml:space="preserve"> bulanıklık</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Papillit</w:t>
      </w:r>
      <w:proofErr w:type="spellEnd"/>
      <w:r w:rsidRPr="00A4651C">
        <w:rPr>
          <w:lang w:val="tr-TR"/>
        </w:rPr>
        <w:t xml:space="preserve">, </w:t>
      </w:r>
      <w:proofErr w:type="spellStart"/>
      <w:r w:rsidRPr="00A4651C">
        <w:rPr>
          <w:lang w:val="tr-TR"/>
        </w:rPr>
        <w:t>papilla</w:t>
      </w:r>
      <w:proofErr w:type="spellEnd"/>
      <w:r w:rsidRPr="00A4651C">
        <w:rPr>
          <w:lang w:val="tr-TR"/>
        </w:rPr>
        <w:t xml:space="preserve"> ödemi</w:t>
      </w:r>
    </w:p>
    <w:p w:rsidR="00FE15CE" w:rsidRPr="00A4651C" w:rsidRDefault="00FE15CE" w:rsidP="00FE15CE">
      <w:pPr>
        <w:tabs>
          <w:tab w:val="left" w:pos="1843"/>
        </w:tabs>
        <w:spacing w:line="276" w:lineRule="auto"/>
        <w:ind w:left="1843" w:hanging="1843"/>
        <w:jc w:val="both"/>
        <w:rPr>
          <w:lang w:val="tr-TR"/>
        </w:rPr>
      </w:pPr>
      <w:r w:rsidRPr="00A4651C">
        <w:rPr>
          <w:b/>
          <w:bCs/>
          <w:lang w:val="tr-TR"/>
        </w:rPr>
        <w:t>Kulak ve iç kulak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 xml:space="preserve">Duyma bozukluğu, duymada zorluk, kulak çınlaması, </w:t>
      </w:r>
      <w:proofErr w:type="spellStart"/>
      <w:r w:rsidRPr="00A4651C">
        <w:rPr>
          <w:lang w:val="tr-TR"/>
        </w:rPr>
        <w:t>vertigo</w:t>
      </w:r>
      <w:proofErr w:type="spellEnd"/>
    </w:p>
    <w:p w:rsidR="00FE15CE" w:rsidRPr="00A4651C" w:rsidRDefault="00FE15CE" w:rsidP="00FE15CE">
      <w:pPr>
        <w:tabs>
          <w:tab w:val="left" w:pos="1843"/>
        </w:tabs>
        <w:spacing w:line="276" w:lineRule="auto"/>
        <w:ind w:left="1843" w:hanging="1843"/>
        <w:jc w:val="both"/>
        <w:rPr>
          <w:lang w:val="tr-TR"/>
        </w:rPr>
      </w:pPr>
      <w:r w:rsidRPr="00A4651C">
        <w:rPr>
          <w:b/>
          <w:bCs/>
          <w:lang w:val="tr-TR"/>
        </w:rPr>
        <w:t>Kardiyak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 xml:space="preserve">Palpitasyon, ödem, konjestif kalp yetmezliği, sodyum </w:t>
      </w:r>
      <w:proofErr w:type="spellStart"/>
      <w:r w:rsidRPr="00A4651C">
        <w:rPr>
          <w:lang w:val="tr-TR"/>
        </w:rPr>
        <w:t>retansiyonu</w:t>
      </w:r>
      <w:proofErr w:type="spellEnd"/>
    </w:p>
    <w:p w:rsidR="00FE15CE" w:rsidRPr="00A4651C" w:rsidRDefault="00FE15CE" w:rsidP="00FE15CE">
      <w:pPr>
        <w:tabs>
          <w:tab w:val="left" w:pos="1843"/>
        </w:tabs>
        <w:spacing w:line="276" w:lineRule="auto"/>
        <w:ind w:left="1843" w:hanging="1843"/>
        <w:jc w:val="both"/>
        <w:rPr>
          <w:lang w:val="tr-TR"/>
        </w:rPr>
      </w:pPr>
      <w:r w:rsidRPr="00A4651C">
        <w:rPr>
          <w:b/>
          <w:bCs/>
          <w:lang w:val="tr-TR"/>
        </w:rPr>
        <w:t>Vasküler rahatsızlıklar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 xml:space="preserve">Hipertansiyon, </w:t>
      </w:r>
      <w:proofErr w:type="spellStart"/>
      <w:r w:rsidRPr="00A4651C">
        <w:rPr>
          <w:lang w:val="tr-TR"/>
        </w:rPr>
        <w:t>vaskülit</w:t>
      </w:r>
      <w:proofErr w:type="spellEnd"/>
    </w:p>
    <w:p w:rsidR="00FE15CE" w:rsidRPr="00A4651C" w:rsidRDefault="00FE15CE" w:rsidP="00FE15CE">
      <w:pPr>
        <w:tabs>
          <w:tab w:val="left" w:pos="1843"/>
        </w:tabs>
        <w:spacing w:line="276" w:lineRule="auto"/>
        <w:ind w:left="1843" w:hanging="1843"/>
        <w:jc w:val="both"/>
        <w:rPr>
          <w:lang w:val="tr-TR"/>
        </w:rPr>
      </w:pPr>
      <w:r w:rsidRPr="00A4651C">
        <w:rPr>
          <w:lang w:val="tr-TR"/>
        </w:rPr>
        <w:t>Çok seyrek:</w:t>
      </w:r>
      <w:r w:rsidRPr="00A4651C">
        <w:rPr>
          <w:lang w:val="tr-TR"/>
        </w:rPr>
        <w:tab/>
        <w:t>Miyokard enfarktüsü, inme</w:t>
      </w:r>
    </w:p>
    <w:p w:rsidR="00FE15CE" w:rsidRPr="00A4651C" w:rsidRDefault="00FE15CE" w:rsidP="00FE15CE">
      <w:pPr>
        <w:tabs>
          <w:tab w:val="left" w:pos="1843"/>
        </w:tabs>
        <w:spacing w:line="276" w:lineRule="auto"/>
        <w:ind w:left="1843" w:hanging="1843"/>
        <w:jc w:val="both"/>
        <w:rPr>
          <w:lang w:val="tr-TR"/>
        </w:rPr>
      </w:pPr>
      <w:r w:rsidRPr="00A4651C">
        <w:rPr>
          <w:b/>
          <w:bCs/>
          <w:lang w:val="tr-TR"/>
        </w:rPr>
        <w:t>Solunum, göğüs bozuklukları ve mediastinal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Dispne</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Pulmoner</w:t>
      </w:r>
      <w:proofErr w:type="spellEnd"/>
      <w:r w:rsidRPr="00A4651C">
        <w:rPr>
          <w:lang w:val="tr-TR"/>
        </w:rPr>
        <w:t xml:space="preserve"> ödem, astım, </w:t>
      </w:r>
      <w:proofErr w:type="spellStart"/>
      <w:r w:rsidRPr="00A4651C">
        <w:rPr>
          <w:lang w:val="tr-TR"/>
        </w:rPr>
        <w:t>eozinofilik</w:t>
      </w:r>
      <w:proofErr w:type="spellEnd"/>
      <w:r w:rsidRPr="00A4651C">
        <w:rPr>
          <w:lang w:val="tr-TR"/>
        </w:rPr>
        <w:t xml:space="preserve"> </w:t>
      </w:r>
      <w:proofErr w:type="spellStart"/>
      <w:r w:rsidRPr="00A4651C">
        <w:rPr>
          <w:lang w:val="tr-TR"/>
        </w:rPr>
        <w:t>pnömoni</w:t>
      </w:r>
      <w:proofErr w:type="spellEnd"/>
    </w:p>
    <w:p w:rsidR="00FE15CE" w:rsidRPr="00A4651C" w:rsidRDefault="00FE15CE" w:rsidP="00FE15CE">
      <w:pPr>
        <w:tabs>
          <w:tab w:val="left" w:pos="1843"/>
        </w:tabs>
        <w:spacing w:line="276" w:lineRule="auto"/>
        <w:ind w:left="1843" w:hanging="1843"/>
        <w:jc w:val="both"/>
        <w:rPr>
          <w:lang w:val="tr-TR"/>
        </w:rPr>
      </w:pPr>
      <w:r w:rsidRPr="00A4651C">
        <w:rPr>
          <w:b/>
          <w:bCs/>
          <w:lang w:val="tr-TR"/>
        </w:rPr>
        <w:t>Gastrointestinal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r>
      <w:proofErr w:type="spellStart"/>
      <w:r w:rsidRPr="00A4651C">
        <w:rPr>
          <w:lang w:val="tr-TR"/>
        </w:rPr>
        <w:t>Peptik</w:t>
      </w:r>
      <w:proofErr w:type="spellEnd"/>
      <w:r w:rsidRPr="00A4651C">
        <w:rPr>
          <w:lang w:val="tr-TR"/>
        </w:rPr>
        <w:t xml:space="preserve"> ülser, </w:t>
      </w:r>
      <w:proofErr w:type="spellStart"/>
      <w:r w:rsidRPr="00A4651C">
        <w:rPr>
          <w:lang w:val="tr-TR"/>
        </w:rPr>
        <w:t>perforasyon</w:t>
      </w:r>
      <w:proofErr w:type="spellEnd"/>
      <w:r w:rsidRPr="00A4651C">
        <w:rPr>
          <w:lang w:val="tr-TR"/>
        </w:rPr>
        <w:t xml:space="preserve">, ileri yaştaki hastalarda fatal olma ihtimali bulunan kanama, mide yanması, mide bulantısı, </w:t>
      </w:r>
      <w:proofErr w:type="spellStart"/>
      <w:r w:rsidRPr="00A4651C">
        <w:rPr>
          <w:lang w:val="tr-TR"/>
        </w:rPr>
        <w:t>özofajit</w:t>
      </w:r>
      <w:proofErr w:type="spellEnd"/>
      <w:r w:rsidRPr="00A4651C">
        <w:rPr>
          <w:lang w:val="tr-TR"/>
        </w:rPr>
        <w:t xml:space="preserve">, kusma, </w:t>
      </w:r>
      <w:proofErr w:type="spellStart"/>
      <w:r w:rsidRPr="00A4651C">
        <w:rPr>
          <w:lang w:val="tr-TR"/>
        </w:rPr>
        <w:t>diyare</w:t>
      </w:r>
      <w:proofErr w:type="spellEnd"/>
      <w:r w:rsidRPr="00A4651C">
        <w:rPr>
          <w:lang w:val="tr-TR"/>
        </w:rPr>
        <w:t>, midede şişkinlik, konstipasyon, dispepsi, karın ağrısı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Nonpeptik</w:t>
      </w:r>
      <w:proofErr w:type="spellEnd"/>
      <w:r w:rsidRPr="00A4651C">
        <w:rPr>
          <w:lang w:val="tr-TR"/>
        </w:rPr>
        <w:t xml:space="preserve"> </w:t>
      </w:r>
      <w:proofErr w:type="spellStart"/>
      <w:r w:rsidRPr="00A4651C">
        <w:rPr>
          <w:lang w:val="tr-TR"/>
        </w:rPr>
        <w:t>gastrointestinal</w:t>
      </w:r>
      <w:proofErr w:type="spellEnd"/>
      <w:r w:rsidRPr="00A4651C">
        <w:rPr>
          <w:lang w:val="tr-TR"/>
        </w:rPr>
        <w:t xml:space="preserve"> </w:t>
      </w:r>
      <w:proofErr w:type="spellStart"/>
      <w:r w:rsidRPr="00A4651C">
        <w:rPr>
          <w:lang w:val="tr-TR"/>
        </w:rPr>
        <w:t>ülserasyon</w:t>
      </w:r>
      <w:proofErr w:type="spellEnd"/>
      <w:r w:rsidRPr="00A4651C">
        <w:rPr>
          <w:lang w:val="tr-TR"/>
        </w:rPr>
        <w:t xml:space="preserve">, </w:t>
      </w:r>
      <w:proofErr w:type="spellStart"/>
      <w:r w:rsidRPr="00A4651C">
        <w:rPr>
          <w:lang w:val="tr-TR"/>
        </w:rPr>
        <w:t>melana</w:t>
      </w:r>
      <w:proofErr w:type="spellEnd"/>
      <w:r w:rsidRPr="00A4651C">
        <w:rPr>
          <w:lang w:val="tr-TR"/>
        </w:rPr>
        <w:t xml:space="preserve">, </w:t>
      </w:r>
      <w:proofErr w:type="spellStart"/>
      <w:r w:rsidRPr="00A4651C">
        <w:rPr>
          <w:lang w:val="tr-TR"/>
        </w:rPr>
        <w:t>hematemez</w:t>
      </w:r>
      <w:proofErr w:type="spellEnd"/>
      <w:r w:rsidRPr="00A4651C">
        <w:rPr>
          <w:lang w:val="tr-TR"/>
        </w:rPr>
        <w:t xml:space="preserve">, </w:t>
      </w:r>
      <w:proofErr w:type="spellStart"/>
      <w:r w:rsidRPr="00A4651C">
        <w:rPr>
          <w:lang w:val="tr-TR"/>
        </w:rPr>
        <w:t>stomatit</w:t>
      </w:r>
      <w:proofErr w:type="spellEnd"/>
      <w:r w:rsidRPr="00A4651C">
        <w:rPr>
          <w:lang w:val="tr-TR"/>
        </w:rPr>
        <w:t xml:space="preserve">, </w:t>
      </w:r>
      <w:proofErr w:type="spellStart"/>
      <w:r w:rsidRPr="00A4651C">
        <w:rPr>
          <w:lang w:val="tr-TR"/>
        </w:rPr>
        <w:t>ülseratif</w:t>
      </w:r>
      <w:proofErr w:type="spellEnd"/>
      <w:r w:rsidRPr="00A4651C">
        <w:rPr>
          <w:lang w:val="tr-TR"/>
        </w:rPr>
        <w:t xml:space="preserve"> </w:t>
      </w:r>
      <w:proofErr w:type="spellStart"/>
      <w:r w:rsidRPr="00A4651C">
        <w:rPr>
          <w:lang w:val="tr-TR"/>
        </w:rPr>
        <w:t>stomatit</w:t>
      </w:r>
      <w:proofErr w:type="spellEnd"/>
      <w:r w:rsidRPr="00A4651C">
        <w:rPr>
          <w:lang w:val="tr-TR"/>
        </w:rPr>
        <w:t xml:space="preserve">, </w:t>
      </w:r>
      <w:proofErr w:type="spellStart"/>
      <w:r w:rsidRPr="00A4651C">
        <w:rPr>
          <w:lang w:val="tr-TR"/>
        </w:rPr>
        <w:t>ülseratif</w:t>
      </w:r>
      <w:proofErr w:type="spellEnd"/>
      <w:r w:rsidRPr="00A4651C">
        <w:rPr>
          <w:lang w:val="tr-TR"/>
        </w:rPr>
        <w:t xml:space="preserve"> kolit ve </w:t>
      </w:r>
      <w:proofErr w:type="spellStart"/>
      <w:r w:rsidRPr="00A4651C">
        <w:rPr>
          <w:lang w:val="tr-TR"/>
        </w:rPr>
        <w:t>Crohn</w:t>
      </w:r>
      <w:proofErr w:type="spellEnd"/>
      <w:r w:rsidRPr="00A4651C">
        <w:rPr>
          <w:lang w:val="tr-TR"/>
        </w:rPr>
        <w:t xml:space="preserve"> hastalığında şiddetlenme, </w:t>
      </w:r>
      <w:proofErr w:type="spellStart"/>
      <w:r w:rsidRPr="00A4651C">
        <w:rPr>
          <w:lang w:val="tr-TR"/>
        </w:rPr>
        <w:t>pankretit</w:t>
      </w:r>
      <w:proofErr w:type="spellEnd"/>
      <w:r w:rsidRPr="00A4651C">
        <w:rPr>
          <w:lang w:val="tr-TR"/>
        </w:rPr>
        <w:t>, gastrit</w:t>
      </w:r>
    </w:p>
    <w:p w:rsidR="00FE15CE" w:rsidRPr="00A4651C" w:rsidRDefault="00FE15CE" w:rsidP="00FE15CE">
      <w:pPr>
        <w:tabs>
          <w:tab w:val="left" w:pos="1843"/>
        </w:tabs>
        <w:spacing w:line="276" w:lineRule="auto"/>
        <w:ind w:left="1843" w:hanging="1843"/>
        <w:jc w:val="both"/>
        <w:rPr>
          <w:lang w:val="tr-TR"/>
        </w:rPr>
      </w:pPr>
      <w:proofErr w:type="spellStart"/>
      <w:r w:rsidRPr="00A4651C">
        <w:rPr>
          <w:b/>
          <w:bCs/>
          <w:lang w:val="tr-TR"/>
        </w:rPr>
        <w:t>Hepato</w:t>
      </w:r>
      <w:proofErr w:type="spellEnd"/>
      <w:r w:rsidRPr="00A4651C">
        <w:rPr>
          <w:b/>
          <w:bCs/>
          <w:lang w:val="tr-TR"/>
        </w:rPr>
        <w:t>-</w:t>
      </w:r>
      <w:proofErr w:type="spellStart"/>
      <w:r w:rsidRPr="00A4651C">
        <w:rPr>
          <w:b/>
          <w:bCs/>
          <w:lang w:val="tr-TR"/>
        </w:rPr>
        <w:t>bilier</w:t>
      </w:r>
      <w:proofErr w:type="spellEnd"/>
      <w:r w:rsidRPr="00A4651C">
        <w:rPr>
          <w:b/>
          <w:bCs/>
          <w:lang w:val="tr-TR"/>
        </w:rPr>
        <w:t xml:space="preserve">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Seyrek:</w:t>
      </w:r>
      <w:r w:rsidRPr="00A4651C">
        <w:rPr>
          <w:lang w:val="tr-TR"/>
        </w:rPr>
        <w:tab/>
        <w:t>Fatal hepatit, sarılık, anormal karaciğer fonksiyonları</w:t>
      </w:r>
    </w:p>
    <w:p w:rsidR="00FE15CE" w:rsidRPr="00A4651C" w:rsidRDefault="00FE15CE" w:rsidP="00FE15CE">
      <w:pPr>
        <w:tabs>
          <w:tab w:val="left" w:pos="1843"/>
        </w:tabs>
        <w:spacing w:line="276" w:lineRule="auto"/>
        <w:ind w:left="1843" w:hanging="1843"/>
        <w:jc w:val="both"/>
        <w:rPr>
          <w:lang w:val="tr-TR"/>
        </w:rPr>
      </w:pPr>
      <w:r w:rsidRPr="00A4651C">
        <w:rPr>
          <w:b/>
          <w:bCs/>
          <w:lang w:val="tr-TR"/>
        </w:rPr>
        <w:t>Deri ve derialtı doku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 xml:space="preserve">Kaşıntı, deri döküntüsü, ciltte lekelenme, </w:t>
      </w:r>
      <w:proofErr w:type="spellStart"/>
      <w:r w:rsidRPr="00A4651C">
        <w:rPr>
          <w:lang w:val="tr-TR"/>
        </w:rPr>
        <w:t>purpura</w:t>
      </w:r>
      <w:proofErr w:type="spellEnd"/>
      <w:r w:rsidRPr="00A4651C">
        <w:rPr>
          <w:lang w:val="tr-TR"/>
        </w:rPr>
        <w:t xml:space="preserve">, deri </w:t>
      </w:r>
      <w:proofErr w:type="spellStart"/>
      <w:r w:rsidRPr="00A4651C">
        <w:rPr>
          <w:lang w:val="tr-TR"/>
        </w:rPr>
        <w:t>raşları</w:t>
      </w:r>
      <w:proofErr w:type="spellEnd"/>
      <w:r w:rsidR="00187F04" w:rsidRPr="00A4651C">
        <w:rPr>
          <w:lang w:val="tr-TR"/>
        </w:rPr>
        <w:t xml:space="preserve">, </w:t>
      </w:r>
      <w:proofErr w:type="spellStart"/>
      <w:r w:rsidR="00187F04" w:rsidRPr="00A4651C">
        <w:rPr>
          <w:lang w:val="tr-TR"/>
        </w:rPr>
        <w:t>ekimoz</w:t>
      </w:r>
      <w:proofErr w:type="spellEnd"/>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 xml:space="preserve">Terleme, saç dökülmesi ve toksik epidermal nekroliz, eritema multiforme, Stevens Johnson </w:t>
      </w:r>
      <w:proofErr w:type="gramStart"/>
      <w:r w:rsidRPr="00A4651C">
        <w:rPr>
          <w:lang w:val="tr-TR"/>
        </w:rPr>
        <w:t>sendromuna</w:t>
      </w:r>
      <w:proofErr w:type="gramEnd"/>
      <w:r w:rsidRPr="00A4651C">
        <w:rPr>
          <w:lang w:val="tr-TR"/>
        </w:rPr>
        <w:t xml:space="preserve"> bağlı </w:t>
      </w:r>
      <w:proofErr w:type="spellStart"/>
      <w:r w:rsidRPr="00A4651C">
        <w:rPr>
          <w:lang w:val="tr-TR"/>
        </w:rPr>
        <w:t>bülloz</w:t>
      </w:r>
      <w:proofErr w:type="spellEnd"/>
      <w:r w:rsidRPr="00A4651C">
        <w:rPr>
          <w:lang w:val="tr-TR"/>
        </w:rPr>
        <w:t xml:space="preserve"> reaksiyonlar, </w:t>
      </w:r>
      <w:proofErr w:type="spellStart"/>
      <w:r w:rsidRPr="00A4651C">
        <w:rPr>
          <w:lang w:val="tr-TR"/>
        </w:rPr>
        <w:t>eritema</w:t>
      </w:r>
      <w:proofErr w:type="spellEnd"/>
      <w:r w:rsidRPr="00A4651C">
        <w:rPr>
          <w:lang w:val="tr-TR"/>
        </w:rPr>
        <w:t xml:space="preserve"> </w:t>
      </w:r>
      <w:proofErr w:type="spellStart"/>
      <w:r w:rsidRPr="00A4651C">
        <w:rPr>
          <w:lang w:val="tr-TR"/>
        </w:rPr>
        <w:t>nodozum</w:t>
      </w:r>
      <w:proofErr w:type="spellEnd"/>
      <w:r w:rsidRPr="00A4651C">
        <w:rPr>
          <w:lang w:val="tr-TR"/>
        </w:rPr>
        <w:t xml:space="preserve">, liken </w:t>
      </w:r>
      <w:proofErr w:type="spellStart"/>
      <w:r w:rsidRPr="00A4651C">
        <w:rPr>
          <w:lang w:val="tr-TR"/>
        </w:rPr>
        <w:t>planus</w:t>
      </w:r>
      <w:proofErr w:type="spellEnd"/>
      <w:r w:rsidRPr="00A4651C">
        <w:rPr>
          <w:lang w:val="tr-TR"/>
        </w:rPr>
        <w:t xml:space="preserve">, püstüler reaksiyonlar, </w:t>
      </w:r>
      <w:proofErr w:type="spellStart"/>
      <w:r w:rsidRPr="00A4651C">
        <w:rPr>
          <w:lang w:val="tr-TR"/>
        </w:rPr>
        <w:t>foliküler</w:t>
      </w:r>
      <w:proofErr w:type="spellEnd"/>
      <w:r w:rsidRPr="00A4651C">
        <w:rPr>
          <w:lang w:val="tr-TR"/>
        </w:rPr>
        <w:t xml:space="preserve"> ürtiker, </w:t>
      </w:r>
      <w:proofErr w:type="spellStart"/>
      <w:r w:rsidRPr="00A4651C">
        <w:rPr>
          <w:lang w:val="tr-TR"/>
        </w:rPr>
        <w:t>fotoalerjik</w:t>
      </w:r>
      <w:proofErr w:type="spellEnd"/>
      <w:r w:rsidRPr="00A4651C">
        <w:rPr>
          <w:lang w:val="tr-TR"/>
        </w:rPr>
        <w:t xml:space="preserve"> duyarlılık reaksiyonları, </w:t>
      </w:r>
      <w:proofErr w:type="spellStart"/>
      <w:r w:rsidRPr="00A4651C">
        <w:rPr>
          <w:lang w:val="tr-TR"/>
        </w:rPr>
        <w:t>anjiyonörotik</w:t>
      </w:r>
      <w:proofErr w:type="spellEnd"/>
      <w:r w:rsidRPr="00A4651C">
        <w:rPr>
          <w:lang w:val="tr-TR"/>
        </w:rPr>
        <w:t xml:space="preserve"> ödem</w:t>
      </w:r>
    </w:p>
    <w:p w:rsidR="00FE15CE" w:rsidRPr="00A4651C" w:rsidRDefault="00FE15CE" w:rsidP="00FE15CE">
      <w:pPr>
        <w:tabs>
          <w:tab w:val="left" w:pos="1843"/>
        </w:tabs>
        <w:spacing w:line="276" w:lineRule="auto"/>
        <w:ind w:left="1843" w:hanging="1843"/>
        <w:jc w:val="both"/>
        <w:rPr>
          <w:lang w:val="tr-TR"/>
        </w:rPr>
      </w:pPr>
      <w:r w:rsidRPr="00A4651C">
        <w:rPr>
          <w:b/>
          <w:bCs/>
          <w:lang w:val="tr-TR"/>
        </w:rPr>
        <w:t>Kas-iskelet bozukluklar, bağ doku ve kemik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Miyalji, kas zayıflığı</w:t>
      </w:r>
    </w:p>
    <w:p w:rsidR="00FE15CE" w:rsidRPr="00A4651C" w:rsidRDefault="00FE15CE" w:rsidP="00FE15CE">
      <w:pPr>
        <w:tabs>
          <w:tab w:val="left" w:pos="1843"/>
        </w:tabs>
        <w:spacing w:line="276" w:lineRule="auto"/>
        <w:ind w:left="1843" w:hanging="1843"/>
        <w:jc w:val="both"/>
        <w:rPr>
          <w:lang w:val="tr-TR"/>
        </w:rPr>
      </w:pPr>
      <w:r w:rsidRPr="00A4651C">
        <w:rPr>
          <w:b/>
          <w:bCs/>
          <w:lang w:val="tr-TR"/>
        </w:rPr>
        <w:t>Böbrek ve idrar hastalıkları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Böbrek rahatsızlıkları</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Hematüri</w:t>
      </w:r>
      <w:proofErr w:type="spellEnd"/>
      <w:r w:rsidRPr="00A4651C">
        <w:rPr>
          <w:lang w:val="tr-TR"/>
        </w:rPr>
        <w:t xml:space="preserve">, </w:t>
      </w:r>
      <w:proofErr w:type="spellStart"/>
      <w:r w:rsidRPr="00A4651C">
        <w:rPr>
          <w:lang w:val="tr-TR"/>
        </w:rPr>
        <w:t>intertisyal</w:t>
      </w:r>
      <w:proofErr w:type="spellEnd"/>
      <w:r w:rsidRPr="00A4651C">
        <w:rPr>
          <w:lang w:val="tr-TR"/>
        </w:rPr>
        <w:t xml:space="preserve"> nefrit, </w:t>
      </w:r>
      <w:proofErr w:type="spellStart"/>
      <w:r w:rsidRPr="00A4651C">
        <w:rPr>
          <w:lang w:val="tr-TR"/>
        </w:rPr>
        <w:t>nefrotik</w:t>
      </w:r>
      <w:proofErr w:type="spellEnd"/>
      <w:r w:rsidRPr="00A4651C">
        <w:rPr>
          <w:lang w:val="tr-TR"/>
        </w:rPr>
        <w:t xml:space="preserve"> </w:t>
      </w:r>
      <w:proofErr w:type="gramStart"/>
      <w:r w:rsidRPr="00A4651C">
        <w:rPr>
          <w:lang w:val="tr-TR"/>
        </w:rPr>
        <w:t>sendrom</w:t>
      </w:r>
      <w:proofErr w:type="gramEnd"/>
      <w:r w:rsidRPr="00A4651C">
        <w:rPr>
          <w:lang w:val="tr-TR"/>
        </w:rPr>
        <w:t xml:space="preserve">, böbrek yetmezliği, </w:t>
      </w:r>
      <w:proofErr w:type="spellStart"/>
      <w:r w:rsidRPr="00A4651C">
        <w:rPr>
          <w:lang w:val="tr-TR"/>
        </w:rPr>
        <w:t>renal</w:t>
      </w:r>
      <w:proofErr w:type="spellEnd"/>
      <w:r w:rsidRPr="00A4651C">
        <w:rPr>
          <w:lang w:val="tr-TR"/>
        </w:rPr>
        <w:t xml:space="preserve"> </w:t>
      </w:r>
      <w:proofErr w:type="spellStart"/>
      <w:r w:rsidRPr="00A4651C">
        <w:rPr>
          <w:lang w:val="tr-TR"/>
        </w:rPr>
        <w:t>papiller</w:t>
      </w:r>
      <w:proofErr w:type="spellEnd"/>
      <w:r w:rsidRPr="00A4651C">
        <w:rPr>
          <w:lang w:val="tr-TR"/>
        </w:rPr>
        <w:t xml:space="preserve"> nekroz</w:t>
      </w:r>
    </w:p>
    <w:p w:rsidR="00FE15CE" w:rsidRPr="00A4651C" w:rsidRDefault="00FE15CE" w:rsidP="00FE15CE">
      <w:pPr>
        <w:tabs>
          <w:tab w:val="left" w:pos="1843"/>
        </w:tabs>
        <w:spacing w:line="276" w:lineRule="auto"/>
        <w:ind w:left="1843" w:hanging="1843"/>
        <w:jc w:val="both"/>
        <w:rPr>
          <w:lang w:val="tr-TR"/>
        </w:rPr>
      </w:pPr>
      <w:r w:rsidRPr="00A4651C">
        <w:rPr>
          <w:b/>
          <w:bCs/>
          <w:lang w:val="tr-TR"/>
        </w:rPr>
        <w:t xml:space="preserve">Gebelik, </w:t>
      </w:r>
      <w:proofErr w:type="spellStart"/>
      <w:r w:rsidRPr="00A4651C">
        <w:rPr>
          <w:b/>
          <w:bCs/>
          <w:lang w:val="tr-TR"/>
        </w:rPr>
        <w:t>puerperiyum</w:t>
      </w:r>
      <w:proofErr w:type="spellEnd"/>
      <w:r w:rsidRPr="00A4651C">
        <w:rPr>
          <w:b/>
          <w:bCs/>
          <w:lang w:val="tr-TR"/>
        </w:rPr>
        <w:t xml:space="preserve"> durumları ve </w:t>
      </w:r>
      <w:proofErr w:type="spellStart"/>
      <w:r w:rsidRPr="00A4651C">
        <w:rPr>
          <w:b/>
          <w:bCs/>
          <w:lang w:val="tr-TR"/>
        </w:rPr>
        <w:t>perinatal</w:t>
      </w:r>
      <w:proofErr w:type="spellEnd"/>
      <w:r w:rsidRPr="00A4651C">
        <w:rPr>
          <w:b/>
          <w:bCs/>
          <w:lang w:val="tr-TR"/>
        </w:rPr>
        <w:t xml:space="preserve">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t>Kadında kısırlık</w:t>
      </w:r>
    </w:p>
    <w:p w:rsidR="00FE15CE" w:rsidRPr="00A4651C" w:rsidRDefault="00FE15CE" w:rsidP="00FE15CE">
      <w:pPr>
        <w:tabs>
          <w:tab w:val="left" w:pos="1843"/>
        </w:tabs>
        <w:spacing w:line="276" w:lineRule="auto"/>
        <w:ind w:left="1843" w:hanging="1843"/>
        <w:jc w:val="both"/>
        <w:rPr>
          <w:lang w:val="tr-TR"/>
        </w:rPr>
      </w:pPr>
      <w:r w:rsidRPr="00A4651C">
        <w:rPr>
          <w:b/>
          <w:bCs/>
          <w:lang w:val="tr-TR"/>
        </w:rPr>
        <w:t>Genel bozukluklar ve uygulama bölgesine ilişkin hastalıklar</w:t>
      </w:r>
    </w:p>
    <w:p w:rsidR="00FE15CE" w:rsidRPr="00A4651C" w:rsidRDefault="00FE15CE" w:rsidP="00FE15CE">
      <w:pPr>
        <w:tabs>
          <w:tab w:val="left" w:pos="1843"/>
        </w:tabs>
        <w:spacing w:line="276" w:lineRule="auto"/>
        <w:ind w:left="1843" w:hanging="1843"/>
        <w:jc w:val="both"/>
        <w:rPr>
          <w:lang w:val="tr-TR"/>
        </w:rPr>
      </w:pPr>
      <w:r w:rsidRPr="00A4651C">
        <w:rPr>
          <w:lang w:val="tr-TR"/>
        </w:rPr>
        <w:t>Yaygın:</w:t>
      </w:r>
      <w:r w:rsidRPr="00A4651C">
        <w:rPr>
          <w:lang w:val="tr-TR"/>
        </w:rPr>
        <w:tab/>
        <w:t>Ödem, susuzluk hissi</w:t>
      </w:r>
    </w:p>
    <w:p w:rsidR="00FE15CE" w:rsidRPr="00A4651C" w:rsidRDefault="00FE15CE" w:rsidP="00FE15CE">
      <w:pPr>
        <w:tabs>
          <w:tab w:val="left" w:pos="1843"/>
        </w:tabs>
        <w:spacing w:line="276" w:lineRule="auto"/>
        <w:ind w:left="1843" w:hanging="1843"/>
        <w:jc w:val="both"/>
        <w:rPr>
          <w:lang w:val="tr-TR"/>
        </w:rPr>
      </w:pPr>
      <w:r w:rsidRPr="00A4651C">
        <w:rPr>
          <w:lang w:val="tr-TR"/>
        </w:rPr>
        <w:t>Yaygın olmayan:</w:t>
      </w:r>
      <w:r w:rsidRPr="00A4651C">
        <w:rPr>
          <w:lang w:val="tr-TR"/>
        </w:rPr>
        <w:tab/>
      </w:r>
      <w:proofErr w:type="spellStart"/>
      <w:r w:rsidRPr="00A4651C">
        <w:rPr>
          <w:lang w:val="tr-TR"/>
        </w:rPr>
        <w:t>Pireksi</w:t>
      </w:r>
      <w:proofErr w:type="spellEnd"/>
      <w:r w:rsidRPr="00A4651C">
        <w:rPr>
          <w:lang w:val="tr-TR"/>
        </w:rPr>
        <w:t xml:space="preserve"> (üşüme hissi ve ateşlenme), keyifsizlik, yorgunluk</w:t>
      </w:r>
    </w:p>
    <w:p w:rsidR="00FE15CE" w:rsidRPr="00A4651C" w:rsidRDefault="00FE15CE" w:rsidP="00FE15CE">
      <w:pPr>
        <w:tabs>
          <w:tab w:val="left" w:pos="1843"/>
        </w:tabs>
        <w:spacing w:line="276" w:lineRule="auto"/>
        <w:ind w:left="1843" w:hanging="1843"/>
        <w:jc w:val="both"/>
        <w:rPr>
          <w:lang w:val="tr-TR"/>
        </w:rPr>
      </w:pPr>
      <w:r w:rsidRPr="00A4651C">
        <w:rPr>
          <w:b/>
          <w:bCs/>
          <w:lang w:val="tr-TR"/>
        </w:rPr>
        <w:t>Araştırmalar</w:t>
      </w:r>
    </w:p>
    <w:p w:rsidR="00FE15CE" w:rsidRPr="00A4651C" w:rsidRDefault="00FE15CE" w:rsidP="00D5758E">
      <w:pPr>
        <w:tabs>
          <w:tab w:val="left" w:pos="1843"/>
        </w:tabs>
        <w:ind w:left="1843" w:hanging="1843"/>
        <w:jc w:val="both"/>
        <w:rPr>
          <w:lang w:val="tr-TR"/>
        </w:rPr>
      </w:pPr>
      <w:r w:rsidRPr="00A4651C">
        <w:rPr>
          <w:lang w:val="tr-TR"/>
        </w:rPr>
        <w:t>Yaygın olmayan:</w:t>
      </w:r>
      <w:r w:rsidRPr="00A4651C">
        <w:rPr>
          <w:lang w:val="tr-TR"/>
        </w:rPr>
        <w:tab/>
        <w:t>Karaciğer fonksiyon testlerinde anormallik, serum kreatinin düzeyinde artış</w:t>
      </w:r>
    </w:p>
    <w:p w:rsidR="004F5426" w:rsidRPr="00A4651C" w:rsidRDefault="004F5426" w:rsidP="00D5758E">
      <w:pPr>
        <w:jc w:val="both"/>
      </w:pPr>
    </w:p>
    <w:p w:rsidR="00EE1D76" w:rsidRPr="00A4651C" w:rsidRDefault="00EE1D76" w:rsidP="00D5758E">
      <w:pPr>
        <w:jc w:val="both"/>
      </w:pPr>
    </w:p>
    <w:p w:rsidR="00D5758E" w:rsidRPr="00A4651C" w:rsidRDefault="00D5758E" w:rsidP="00D5758E">
      <w:pPr>
        <w:tabs>
          <w:tab w:val="left" w:pos="142"/>
          <w:tab w:val="left" w:pos="284"/>
          <w:tab w:val="left" w:pos="426"/>
        </w:tabs>
        <w:jc w:val="both"/>
        <w:rPr>
          <w:color w:val="0070C0"/>
          <w:u w:val="single"/>
        </w:rPr>
      </w:pPr>
      <w:r w:rsidRPr="00A4651C">
        <w:rPr>
          <w:rFonts w:hint="eastAsia"/>
          <w:color w:val="0070C0"/>
          <w:u w:val="single"/>
        </w:rPr>
        <w:t>Ş</w:t>
      </w:r>
      <w:r w:rsidRPr="00A4651C">
        <w:rPr>
          <w:color w:val="0070C0"/>
          <w:u w:val="single"/>
        </w:rPr>
        <w:t>üpheli advers reaksiyonlar</w:t>
      </w:r>
      <w:r w:rsidRPr="00A4651C">
        <w:rPr>
          <w:rFonts w:hint="eastAsia"/>
          <w:color w:val="0070C0"/>
          <w:u w:val="single"/>
        </w:rPr>
        <w:t>ı</w:t>
      </w:r>
      <w:r w:rsidRPr="00A4651C">
        <w:rPr>
          <w:color w:val="0070C0"/>
          <w:u w:val="single"/>
        </w:rPr>
        <w:t>n raporlanmas</w:t>
      </w:r>
      <w:r w:rsidRPr="00A4651C">
        <w:rPr>
          <w:rFonts w:hint="eastAsia"/>
          <w:color w:val="0070C0"/>
          <w:u w:val="single"/>
        </w:rPr>
        <w:t>ı</w:t>
      </w:r>
    </w:p>
    <w:p w:rsidR="00D5758E" w:rsidRPr="00A4651C" w:rsidRDefault="00D5758E" w:rsidP="00D5758E">
      <w:pPr>
        <w:tabs>
          <w:tab w:val="left" w:pos="142"/>
          <w:tab w:val="left" w:pos="284"/>
          <w:tab w:val="left" w:pos="426"/>
        </w:tabs>
        <w:jc w:val="both"/>
        <w:rPr>
          <w:color w:val="0070C0"/>
        </w:rPr>
      </w:pPr>
      <w:r w:rsidRPr="00A4651C">
        <w:rPr>
          <w:color w:val="0070C0"/>
        </w:rPr>
        <w:t>Ruhsatland</w:t>
      </w:r>
      <w:r w:rsidRPr="00A4651C">
        <w:rPr>
          <w:rFonts w:hint="eastAsia"/>
          <w:color w:val="0070C0"/>
        </w:rPr>
        <w:t>ı</w:t>
      </w:r>
      <w:r w:rsidRPr="00A4651C">
        <w:rPr>
          <w:color w:val="0070C0"/>
        </w:rPr>
        <w:t>rma sonras</w:t>
      </w:r>
      <w:r w:rsidRPr="00A4651C">
        <w:rPr>
          <w:rFonts w:hint="eastAsia"/>
          <w:color w:val="0070C0"/>
        </w:rPr>
        <w:t>ı</w:t>
      </w:r>
      <w:r w:rsidRPr="00A4651C">
        <w:rPr>
          <w:color w:val="0070C0"/>
        </w:rPr>
        <w:t xml:space="preserve"> </w:t>
      </w:r>
      <w:r w:rsidRPr="00A4651C">
        <w:rPr>
          <w:rFonts w:hint="eastAsia"/>
          <w:color w:val="0070C0"/>
        </w:rPr>
        <w:t>ş</w:t>
      </w:r>
      <w:r w:rsidRPr="00A4651C">
        <w:rPr>
          <w:color w:val="0070C0"/>
        </w:rPr>
        <w:t>üpheli ilaç advers reaksiyonlar</w:t>
      </w:r>
      <w:r w:rsidRPr="00A4651C">
        <w:rPr>
          <w:rFonts w:hint="eastAsia"/>
          <w:color w:val="0070C0"/>
        </w:rPr>
        <w:t>ı</w:t>
      </w:r>
      <w:r w:rsidRPr="00A4651C">
        <w:rPr>
          <w:color w:val="0070C0"/>
        </w:rPr>
        <w:t>n</w:t>
      </w:r>
      <w:r w:rsidRPr="00A4651C">
        <w:rPr>
          <w:rFonts w:hint="eastAsia"/>
          <w:color w:val="0070C0"/>
        </w:rPr>
        <w:t>ı</w:t>
      </w:r>
      <w:r w:rsidRPr="00A4651C">
        <w:rPr>
          <w:color w:val="0070C0"/>
        </w:rPr>
        <w:t>n raporlanmas</w:t>
      </w:r>
      <w:r w:rsidRPr="00A4651C">
        <w:rPr>
          <w:rFonts w:hint="eastAsia"/>
          <w:color w:val="0070C0"/>
        </w:rPr>
        <w:t>ı</w:t>
      </w:r>
      <w:r w:rsidRPr="00A4651C">
        <w:rPr>
          <w:color w:val="0070C0"/>
        </w:rPr>
        <w:t xml:space="preserve"> büyük önem ta</w:t>
      </w:r>
      <w:r w:rsidRPr="00A4651C">
        <w:rPr>
          <w:rFonts w:hint="eastAsia"/>
          <w:color w:val="0070C0"/>
        </w:rPr>
        <w:t>şı</w:t>
      </w:r>
      <w:r w:rsidRPr="00A4651C">
        <w:rPr>
          <w:color w:val="0070C0"/>
        </w:rPr>
        <w:t>maktad</w:t>
      </w:r>
      <w:r w:rsidRPr="00A4651C">
        <w:rPr>
          <w:rFonts w:hint="eastAsia"/>
          <w:color w:val="0070C0"/>
        </w:rPr>
        <w:t>ı</w:t>
      </w:r>
      <w:r w:rsidRPr="00A4651C">
        <w:rPr>
          <w:color w:val="0070C0"/>
        </w:rPr>
        <w:t>r. Raporlama yap</w:t>
      </w:r>
      <w:r w:rsidRPr="00A4651C">
        <w:rPr>
          <w:rFonts w:hint="eastAsia"/>
          <w:color w:val="0070C0"/>
        </w:rPr>
        <w:t>ı</w:t>
      </w:r>
      <w:r w:rsidRPr="00A4651C">
        <w:rPr>
          <w:color w:val="0070C0"/>
        </w:rPr>
        <w:t>lmas</w:t>
      </w:r>
      <w:r w:rsidRPr="00A4651C">
        <w:rPr>
          <w:rFonts w:hint="eastAsia"/>
          <w:color w:val="0070C0"/>
        </w:rPr>
        <w:t>ı</w:t>
      </w:r>
      <w:r w:rsidRPr="00A4651C">
        <w:rPr>
          <w:color w:val="0070C0"/>
        </w:rPr>
        <w:t>, ilac</w:t>
      </w:r>
      <w:r w:rsidRPr="00A4651C">
        <w:rPr>
          <w:rFonts w:hint="eastAsia"/>
          <w:color w:val="0070C0"/>
        </w:rPr>
        <w:t>ı</w:t>
      </w:r>
      <w:r w:rsidRPr="00A4651C">
        <w:rPr>
          <w:color w:val="0070C0"/>
        </w:rPr>
        <w:t>n yarar/risk dengesinin sürekli olarak izlenmesine olanak sa</w:t>
      </w:r>
      <w:r w:rsidRPr="00A4651C">
        <w:rPr>
          <w:rFonts w:hint="eastAsia"/>
          <w:color w:val="0070C0"/>
        </w:rPr>
        <w:t>ğ</w:t>
      </w:r>
      <w:r w:rsidRPr="00A4651C">
        <w:rPr>
          <w:color w:val="0070C0"/>
        </w:rPr>
        <w:t>lar. Sa</w:t>
      </w:r>
      <w:r w:rsidRPr="00A4651C">
        <w:rPr>
          <w:rFonts w:hint="eastAsia"/>
          <w:color w:val="0070C0"/>
        </w:rPr>
        <w:t>ğ</w:t>
      </w:r>
      <w:r w:rsidRPr="00A4651C">
        <w:rPr>
          <w:color w:val="0070C0"/>
        </w:rPr>
        <w:t>l</w:t>
      </w:r>
      <w:r w:rsidRPr="00A4651C">
        <w:rPr>
          <w:rFonts w:hint="eastAsia"/>
          <w:color w:val="0070C0"/>
        </w:rPr>
        <w:t>ı</w:t>
      </w:r>
      <w:r w:rsidRPr="00A4651C">
        <w:rPr>
          <w:color w:val="0070C0"/>
        </w:rPr>
        <w:t>k mesle</w:t>
      </w:r>
      <w:r w:rsidRPr="00A4651C">
        <w:rPr>
          <w:rFonts w:hint="eastAsia"/>
          <w:color w:val="0070C0"/>
        </w:rPr>
        <w:t>ğ</w:t>
      </w:r>
      <w:r w:rsidRPr="00A4651C">
        <w:rPr>
          <w:color w:val="0070C0"/>
        </w:rPr>
        <w:t>i mensuplar</w:t>
      </w:r>
      <w:r w:rsidRPr="00A4651C">
        <w:rPr>
          <w:rFonts w:hint="eastAsia"/>
          <w:color w:val="0070C0"/>
        </w:rPr>
        <w:t>ı</w:t>
      </w:r>
      <w:r w:rsidRPr="00A4651C">
        <w:rPr>
          <w:color w:val="0070C0"/>
        </w:rPr>
        <w:t>n</w:t>
      </w:r>
      <w:r w:rsidRPr="00A4651C">
        <w:rPr>
          <w:rFonts w:hint="eastAsia"/>
          <w:color w:val="0070C0"/>
        </w:rPr>
        <w:t>ı</w:t>
      </w:r>
      <w:r w:rsidRPr="00A4651C">
        <w:rPr>
          <w:color w:val="0070C0"/>
        </w:rPr>
        <w:t xml:space="preserve">n herhangi bir </w:t>
      </w:r>
      <w:r w:rsidRPr="00A4651C">
        <w:rPr>
          <w:rFonts w:hint="eastAsia"/>
          <w:color w:val="0070C0"/>
        </w:rPr>
        <w:t>şü</w:t>
      </w:r>
      <w:r w:rsidRPr="00A4651C">
        <w:rPr>
          <w:color w:val="0070C0"/>
        </w:rPr>
        <w:t>pheli advers reaksiyonu Türkiye Farmakovijilans Merkezi (TÜFAM)'ne bildirmeleri gerekmektedir. (</w:t>
      </w:r>
      <w:r w:rsidRPr="00A4651C">
        <w:rPr>
          <w:color w:val="0070C0"/>
          <w:u w:val="single"/>
        </w:rPr>
        <w:t>www.titck.gov.tr</w:t>
      </w:r>
      <w:r w:rsidRPr="00A4651C">
        <w:rPr>
          <w:color w:val="0070C0"/>
        </w:rPr>
        <w:t xml:space="preserve">;          e-posta: </w:t>
      </w:r>
      <w:r w:rsidRPr="00A4651C">
        <w:rPr>
          <w:color w:val="0070C0"/>
          <w:u w:val="single"/>
        </w:rPr>
        <w:t>tufam@titck.gov.tr</w:t>
      </w:r>
      <w:r w:rsidRPr="00A4651C">
        <w:rPr>
          <w:color w:val="0070C0"/>
        </w:rPr>
        <w:t>; tel: 0 800 314 00 08; faks: 0 312 218 35 99)</w:t>
      </w:r>
    </w:p>
    <w:p w:rsidR="00D5758E" w:rsidRPr="00A4651C" w:rsidRDefault="00D5758E" w:rsidP="00D5758E">
      <w:pPr>
        <w:jc w:val="both"/>
        <w:rPr>
          <w:b/>
          <w:lang w:val="tr-TR"/>
        </w:rPr>
      </w:pPr>
    </w:p>
    <w:p w:rsidR="004F5426" w:rsidRPr="00A4651C" w:rsidRDefault="004F5426" w:rsidP="00D5758E">
      <w:pPr>
        <w:jc w:val="both"/>
        <w:rPr>
          <w:b/>
          <w:lang w:val="tr-TR"/>
        </w:rPr>
      </w:pPr>
      <w:r w:rsidRPr="00A4651C">
        <w:rPr>
          <w:b/>
          <w:lang w:val="tr-TR"/>
        </w:rPr>
        <w:t>4.9. Doz aşımı ve tedavisi</w:t>
      </w:r>
    </w:p>
    <w:p w:rsidR="00FE15CE" w:rsidRPr="00A4651C" w:rsidRDefault="00FE15CE" w:rsidP="00D5758E">
      <w:pPr>
        <w:jc w:val="both"/>
        <w:rPr>
          <w:i/>
          <w:iCs/>
          <w:lang w:val="tr-TR"/>
        </w:rPr>
      </w:pPr>
      <w:r w:rsidRPr="00A4651C">
        <w:rPr>
          <w:i/>
          <w:iCs/>
          <w:lang w:val="tr-TR"/>
        </w:rPr>
        <w:t>Semptomlar</w:t>
      </w:r>
    </w:p>
    <w:p w:rsidR="00FE15CE" w:rsidRPr="00A4651C" w:rsidRDefault="00FE15CE" w:rsidP="00FE15CE">
      <w:pPr>
        <w:spacing w:line="276" w:lineRule="auto"/>
        <w:jc w:val="both"/>
        <w:rPr>
          <w:lang w:val="tr-TR"/>
        </w:rPr>
      </w:pPr>
      <w:r w:rsidRPr="00A4651C">
        <w:rPr>
          <w:lang w:val="tr-TR"/>
        </w:rPr>
        <w:t xml:space="preserve">Baş ağrısı, </w:t>
      </w:r>
      <w:proofErr w:type="spellStart"/>
      <w:r w:rsidRPr="00A4651C">
        <w:rPr>
          <w:lang w:val="tr-TR"/>
        </w:rPr>
        <w:t>konvülsiyon</w:t>
      </w:r>
      <w:proofErr w:type="spellEnd"/>
      <w:r w:rsidRPr="00A4651C">
        <w:rPr>
          <w:lang w:val="tr-TR"/>
        </w:rPr>
        <w:t xml:space="preserve">, koma, </w:t>
      </w:r>
      <w:proofErr w:type="spellStart"/>
      <w:r w:rsidRPr="00A4651C">
        <w:rPr>
          <w:lang w:val="tr-TR"/>
        </w:rPr>
        <w:t>pirozis</w:t>
      </w:r>
      <w:proofErr w:type="spellEnd"/>
      <w:r w:rsidRPr="00A4651C">
        <w:rPr>
          <w:lang w:val="tr-TR"/>
        </w:rPr>
        <w:t xml:space="preserve">, bulantı, kusma, </w:t>
      </w:r>
      <w:proofErr w:type="spellStart"/>
      <w:r w:rsidRPr="00A4651C">
        <w:rPr>
          <w:lang w:val="tr-TR"/>
        </w:rPr>
        <w:t>epigastrik</w:t>
      </w:r>
      <w:proofErr w:type="spellEnd"/>
      <w:r w:rsidRPr="00A4651C">
        <w:rPr>
          <w:lang w:val="tr-TR"/>
        </w:rPr>
        <w:t xml:space="preserve"> ağrı, Gİ kanama, nadiren </w:t>
      </w:r>
      <w:proofErr w:type="spellStart"/>
      <w:r w:rsidRPr="00A4651C">
        <w:rPr>
          <w:lang w:val="tr-TR"/>
        </w:rPr>
        <w:t>diyare</w:t>
      </w:r>
      <w:proofErr w:type="spellEnd"/>
      <w:r w:rsidRPr="00A4651C">
        <w:rPr>
          <w:lang w:val="tr-TR"/>
        </w:rPr>
        <w:t xml:space="preserve">, </w:t>
      </w:r>
      <w:proofErr w:type="spellStart"/>
      <w:r w:rsidRPr="00A4651C">
        <w:rPr>
          <w:lang w:val="tr-TR"/>
        </w:rPr>
        <w:t>dezoryantasyon</w:t>
      </w:r>
      <w:proofErr w:type="spellEnd"/>
      <w:r w:rsidRPr="00A4651C">
        <w:rPr>
          <w:lang w:val="tr-TR"/>
        </w:rPr>
        <w:t xml:space="preserve">, </w:t>
      </w:r>
      <w:proofErr w:type="spellStart"/>
      <w:r w:rsidRPr="00A4651C">
        <w:rPr>
          <w:lang w:val="tr-TR"/>
        </w:rPr>
        <w:t>eksitasyon</w:t>
      </w:r>
      <w:proofErr w:type="spellEnd"/>
      <w:r w:rsidRPr="00A4651C">
        <w:rPr>
          <w:lang w:val="tr-TR"/>
        </w:rPr>
        <w:t>, uyuşukluk, sersemlik, kulak çınlaması, baygınlık. Önemli zehirlenme vakalarında, akut böbrek yetmezliği ve karaciğer hasarı oluşması mümkündür.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Nonsteroidal antiinflamatuvar ilaç alımı sonrası solunum depresyonu ve koma görülebilir ancak bu durum nadir olarak görülür.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 xml:space="preserve">Bir </w:t>
      </w:r>
      <w:proofErr w:type="spellStart"/>
      <w:r w:rsidRPr="00A4651C">
        <w:rPr>
          <w:lang w:val="tr-TR"/>
        </w:rPr>
        <w:t>naproksen</w:t>
      </w:r>
      <w:proofErr w:type="spellEnd"/>
      <w:r w:rsidRPr="00A4651C">
        <w:rPr>
          <w:lang w:val="tr-TR"/>
        </w:rPr>
        <w:t xml:space="preserve"> sodyum doz aşımı vakasında, </w:t>
      </w:r>
      <w:proofErr w:type="spellStart"/>
      <w:r w:rsidRPr="00A4651C">
        <w:rPr>
          <w:lang w:val="tr-TR"/>
        </w:rPr>
        <w:t>hipotrombinemiye</w:t>
      </w:r>
      <w:proofErr w:type="spellEnd"/>
      <w:r w:rsidRPr="00A4651C">
        <w:rPr>
          <w:lang w:val="tr-TR"/>
        </w:rPr>
        <w:t xml:space="preserve"> bağlı </w:t>
      </w:r>
      <w:proofErr w:type="spellStart"/>
      <w:r w:rsidRPr="00A4651C">
        <w:rPr>
          <w:lang w:val="tr-TR"/>
        </w:rPr>
        <w:t>protrombin</w:t>
      </w:r>
      <w:proofErr w:type="spellEnd"/>
      <w:r w:rsidRPr="00A4651C">
        <w:rPr>
          <w:lang w:val="tr-TR"/>
        </w:rPr>
        <w:t xml:space="preserve"> zamanında geçici uzama K vitaminine bağlı pıhtılaşma faktörlerinin </w:t>
      </w:r>
      <w:proofErr w:type="spellStart"/>
      <w:r w:rsidRPr="00A4651C">
        <w:rPr>
          <w:lang w:val="tr-TR"/>
        </w:rPr>
        <w:t>selektif</w:t>
      </w:r>
      <w:proofErr w:type="spellEnd"/>
      <w:r w:rsidRPr="00A4651C">
        <w:rPr>
          <w:lang w:val="tr-TR"/>
        </w:rPr>
        <w:t xml:space="preserve"> </w:t>
      </w:r>
      <w:proofErr w:type="spellStart"/>
      <w:r w:rsidRPr="00A4651C">
        <w:rPr>
          <w:lang w:val="tr-TR"/>
        </w:rPr>
        <w:t>inhibisyonuna</w:t>
      </w:r>
      <w:proofErr w:type="spellEnd"/>
      <w:r w:rsidRPr="00A4651C">
        <w:rPr>
          <w:lang w:val="tr-TR"/>
        </w:rPr>
        <w:t xml:space="preserve"> bağlı olabilir.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 xml:space="preserve">Birkaç hastada nöbetler görülmüştür ancak bunların </w:t>
      </w:r>
      <w:proofErr w:type="spellStart"/>
      <w:r w:rsidRPr="00A4651C">
        <w:rPr>
          <w:lang w:val="tr-TR"/>
        </w:rPr>
        <w:t>naproksen</w:t>
      </w:r>
      <w:proofErr w:type="spellEnd"/>
      <w:r w:rsidRPr="00A4651C">
        <w:rPr>
          <w:lang w:val="tr-TR"/>
        </w:rPr>
        <w:t xml:space="preserve"> ile ilgili olup olmadığı net değildir. </w:t>
      </w:r>
      <w:proofErr w:type="spellStart"/>
      <w:r w:rsidRPr="00A4651C">
        <w:rPr>
          <w:lang w:val="tr-TR"/>
        </w:rPr>
        <w:t>Naproksen</w:t>
      </w:r>
      <w:proofErr w:type="spellEnd"/>
      <w:r w:rsidRPr="00A4651C">
        <w:rPr>
          <w:lang w:val="tr-TR"/>
        </w:rPr>
        <w:t xml:space="preserve"> sodyumun hangi dozunun hayatı tehdit edici nitelikte olduğu bilinmemektedir.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i/>
          <w:lang w:val="tr-TR"/>
        </w:rPr>
      </w:pPr>
      <w:r w:rsidRPr="00A4651C">
        <w:rPr>
          <w:i/>
          <w:iCs/>
          <w:lang w:val="tr-TR"/>
        </w:rPr>
        <w:t>Tedavi</w:t>
      </w:r>
    </w:p>
    <w:p w:rsidR="00FE15CE" w:rsidRPr="00A4651C" w:rsidRDefault="00FE15CE" w:rsidP="00FE15CE">
      <w:pPr>
        <w:spacing w:line="276" w:lineRule="auto"/>
        <w:jc w:val="both"/>
        <w:rPr>
          <w:lang w:val="tr-TR"/>
        </w:rPr>
      </w:pPr>
      <w:r w:rsidRPr="00A4651C">
        <w:rPr>
          <w:lang w:val="tr-TR"/>
        </w:rPr>
        <w:t>Hastalar gerekirse semptomatik olarak tedavi edilmelidir. Toksik olabilecek miktarda dozlar alındıktan sonraki 1 saat içinde aktif kömür düşünülmelidir. Alternatif olarak yetişkinlerde hayatı tehdit edici miktarda aşırı dozlar alındıktan sonraki 1 saat içinde gastrik lavaj göz önünde bulundurulmalıdır.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İyi idrar çıkışı garanti edilmelidir.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Böbrek ve karaciğer fonksiyonları yakından takip edilmelidir.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Toksik olabilecek miktarda dozlar alındıktan sonra, hastalar en az dört saat boyunca gözlemlenmelidir.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 xml:space="preserve">Sık </w:t>
      </w:r>
      <w:proofErr w:type="spellStart"/>
      <w:r w:rsidRPr="00A4651C">
        <w:rPr>
          <w:lang w:val="tr-TR"/>
        </w:rPr>
        <w:t>sık</w:t>
      </w:r>
      <w:proofErr w:type="spellEnd"/>
      <w:r w:rsidRPr="00A4651C">
        <w:rPr>
          <w:lang w:val="tr-TR"/>
        </w:rPr>
        <w:t xml:space="preserve"> olan ya da uzun süreli </w:t>
      </w:r>
      <w:proofErr w:type="spellStart"/>
      <w:r w:rsidRPr="00A4651C">
        <w:rPr>
          <w:lang w:val="tr-TR"/>
        </w:rPr>
        <w:t>konvülsiyonlar</w:t>
      </w:r>
      <w:proofErr w:type="spellEnd"/>
      <w:r w:rsidRPr="00A4651C">
        <w:rPr>
          <w:lang w:val="tr-TR"/>
        </w:rPr>
        <w:t xml:space="preserve"> </w:t>
      </w:r>
      <w:proofErr w:type="spellStart"/>
      <w:r w:rsidRPr="00A4651C">
        <w:rPr>
          <w:lang w:val="tr-TR"/>
        </w:rPr>
        <w:t>intravenöz</w:t>
      </w:r>
      <w:proofErr w:type="spellEnd"/>
      <w:r w:rsidRPr="00A4651C">
        <w:rPr>
          <w:lang w:val="tr-TR"/>
        </w:rPr>
        <w:t xml:space="preserve"> </w:t>
      </w:r>
      <w:proofErr w:type="spellStart"/>
      <w:r w:rsidRPr="00A4651C">
        <w:rPr>
          <w:lang w:val="tr-TR"/>
        </w:rPr>
        <w:t>diazepam</w:t>
      </w:r>
      <w:proofErr w:type="spellEnd"/>
      <w:r w:rsidRPr="00A4651C">
        <w:rPr>
          <w:lang w:val="tr-TR"/>
        </w:rPr>
        <w:t xml:space="preserve"> ile tedavi edilmelidir.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Diğer önlemler hastanın klinik durumuna göre alınmalıdır.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proteinlere yüksek oranda bağlandığından, hemodiyaliz plazma </w:t>
      </w:r>
      <w:proofErr w:type="spellStart"/>
      <w:r w:rsidRPr="00A4651C">
        <w:rPr>
          <w:lang w:val="tr-TR"/>
        </w:rPr>
        <w:t>naproksen</w:t>
      </w:r>
      <w:proofErr w:type="spellEnd"/>
      <w:r w:rsidRPr="00A4651C">
        <w:rPr>
          <w:lang w:val="tr-TR"/>
        </w:rPr>
        <w:t xml:space="preserve"> sodyum </w:t>
      </w:r>
      <w:proofErr w:type="gramStart"/>
      <w:r w:rsidRPr="00A4651C">
        <w:rPr>
          <w:lang w:val="tr-TR"/>
        </w:rPr>
        <w:t>konsantrasyonlarını</w:t>
      </w:r>
      <w:proofErr w:type="gramEnd"/>
      <w:r w:rsidRPr="00A4651C">
        <w:rPr>
          <w:lang w:val="tr-TR"/>
        </w:rPr>
        <w:t xml:space="preserve"> düşürmez. Ancak </w:t>
      </w:r>
      <w:proofErr w:type="spellStart"/>
      <w:r w:rsidRPr="00A4651C">
        <w:rPr>
          <w:lang w:val="tr-TR"/>
        </w:rPr>
        <w:t>naproksen</w:t>
      </w:r>
      <w:proofErr w:type="spellEnd"/>
      <w:r w:rsidRPr="00A4651C">
        <w:rPr>
          <w:lang w:val="tr-TR"/>
        </w:rPr>
        <w:t xml:space="preserve"> almış olan ve renal yetmezliği bulunan bir hastada hemodiyaliz yine de uygun olabilir.</w:t>
      </w:r>
    </w:p>
    <w:p w:rsidR="004F5426" w:rsidRPr="00A4651C" w:rsidRDefault="004F5426" w:rsidP="0088131E">
      <w:pPr>
        <w:spacing w:line="276" w:lineRule="auto"/>
        <w:jc w:val="both"/>
      </w:pPr>
    </w:p>
    <w:p w:rsidR="004F5426" w:rsidRPr="00A4651C" w:rsidRDefault="004F5426" w:rsidP="0088131E">
      <w:pPr>
        <w:spacing w:line="276" w:lineRule="auto"/>
        <w:jc w:val="both"/>
        <w:rPr>
          <w:b/>
          <w:lang w:val="tr-TR"/>
        </w:rPr>
      </w:pPr>
      <w:r w:rsidRPr="00A4651C">
        <w:rPr>
          <w:b/>
          <w:lang w:val="tr-TR"/>
        </w:rPr>
        <w:t>5. FARMAKOLOJİK ÖZELLİKLER</w:t>
      </w:r>
    </w:p>
    <w:p w:rsidR="004F5426" w:rsidRPr="00A4651C" w:rsidRDefault="004F5426" w:rsidP="0088131E">
      <w:pPr>
        <w:spacing w:line="276" w:lineRule="auto"/>
        <w:jc w:val="both"/>
        <w:rPr>
          <w:b/>
          <w:lang w:val="tr-TR"/>
        </w:rPr>
      </w:pPr>
      <w:r w:rsidRPr="00A4651C">
        <w:rPr>
          <w:b/>
          <w:lang w:val="tr-TR"/>
        </w:rPr>
        <w:t>5.1.</w:t>
      </w:r>
      <w:r w:rsidR="009C32A2" w:rsidRPr="00A4651C">
        <w:rPr>
          <w:b/>
          <w:lang w:val="tr-TR"/>
        </w:rPr>
        <w:t xml:space="preserve"> </w:t>
      </w:r>
      <w:r w:rsidRPr="00A4651C">
        <w:rPr>
          <w:b/>
          <w:lang w:val="tr-TR"/>
        </w:rPr>
        <w:t>Farmakodinamik özellikler</w:t>
      </w:r>
    </w:p>
    <w:p w:rsidR="00FE15CE" w:rsidRPr="00A4651C" w:rsidRDefault="00FE15CE" w:rsidP="00FE15CE">
      <w:pPr>
        <w:spacing w:line="276" w:lineRule="auto"/>
        <w:jc w:val="both"/>
        <w:rPr>
          <w:lang w:val="tr-TR"/>
        </w:rPr>
      </w:pPr>
      <w:proofErr w:type="spellStart"/>
      <w:r w:rsidRPr="00A4651C">
        <w:rPr>
          <w:lang w:val="tr-TR"/>
        </w:rPr>
        <w:t>Farmakoterapötik</w:t>
      </w:r>
      <w:proofErr w:type="spellEnd"/>
      <w:r w:rsidRPr="00A4651C">
        <w:rPr>
          <w:lang w:val="tr-TR"/>
        </w:rPr>
        <w:t xml:space="preserve"> Grup: </w:t>
      </w:r>
      <w:proofErr w:type="spellStart"/>
      <w:r w:rsidRPr="00A4651C">
        <w:rPr>
          <w:lang w:val="tr-TR"/>
        </w:rPr>
        <w:t>Antiinflamatuvarlar</w:t>
      </w:r>
      <w:proofErr w:type="spellEnd"/>
      <w:r w:rsidRPr="00A4651C">
        <w:rPr>
          <w:lang w:val="tr-TR"/>
        </w:rPr>
        <w:t xml:space="preserve"> ve </w:t>
      </w:r>
      <w:proofErr w:type="spellStart"/>
      <w:r w:rsidRPr="00A4651C">
        <w:rPr>
          <w:lang w:val="tr-TR"/>
        </w:rPr>
        <w:t>Antiromatik</w:t>
      </w:r>
      <w:proofErr w:type="spellEnd"/>
      <w:r w:rsidRPr="00A4651C">
        <w:rPr>
          <w:lang w:val="tr-TR"/>
        </w:rPr>
        <w:t xml:space="preserve"> Ürünler</w:t>
      </w:r>
    </w:p>
    <w:p w:rsidR="00FE15CE" w:rsidRPr="00A4651C" w:rsidRDefault="00FE15CE" w:rsidP="00FE15CE">
      <w:pPr>
        <w:spacing w:line="276" w:lineRule="auto"/>
        <w:jc w:val="both"/>
        <w:rPr>
          <w:lang w:val="tr-TR"/>
        </w:rPr>
      </w:pPr>
      <w:r w:rsidRPr="00A4651C">
        <w:rPr>
          <w:lang w:val="tr-TR"/>
        </w:rPr>
        <w:t>ATC Kodu: M01AE02</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w:t>
      </w:r>
      <w:proofErr w:type="spellStart"/>
      <w:r w:rsidRPr="00A4651C">
        <w:rPr>
          <w:lang w:val="tr-TR"/>
        </w:rPr>
        <w:t>antiinflamatuvar</w:t>
      </w:r>
      <w:proofErr w:type="spellEnd"/>
      <w:r w:rsidRPr="00A4651C">
        <w:rPr>
          <w:lang w:val="tr-TR"/>
        </w:rPr>
        <w:t xml:space="preserve"> ve analjezik aktiviteye sahip </w:t>
      </w:r>
      <w:proofErr w:type="spellStart"/>
      <w:r w:rsidRPr="00A4651C">
        <w:rPr>
          <w:lang w:val="tr-TR"/>
        </w:rPr>
        <w:t>nonsteroidal</w:t>
      </w:r>
      <w:proofErr w:type="spellEnd"/>
      <w:r w:rsidRPr="00A4651C">
        <w:rPr>
          <w:lang w:val="tr-TR"/>
        </w:rPr>
        <w:t xml:space="preserve"> bir </w:t>
      </w:r>
      <w:proofErr w:type="spellStart"/>
      <w:r w:rsidRPr="00A4651C">
        <w:rPr>
          <w:lang w:val="tr-TR"/>
        </w:rPr>
        <w:t>antiinflamatuvardır</w:t>
      </w:r>
      <w:proofErr w:type="spellEnd"/>
      <w:r w:rsidRPr="00A4651C">
        <w:rPr>
          <w:lang w:val="tr-TR"/>
        </w:rPr>
        <w:t xml:space="preserve">. Diğer </w:t>
      </w:r>
      <w:proofErr w:type="spellStart"/>
      <w:r w:rsidRPr="00A4651C">
        <w:rPr>
          <w:lang w:val="tr-TR"/>
        </w:rPr>
        <w:t>nonsteroidal</w:t>
      </w:r>
      <w:proofErr w:type="spellEnd"/>
      <w:r w:rsidRPr="00A4651C">
        <w:rPr>
          <w:lang w:val="tr-TR"/>
        </w:rPr>
        <w:t xml:space="preserve"> analjezik </w:t>
      </w:r>
      <w:proofErr w:type="spellStart"/>
      <w:r w:rsidRPr="00A4651C">
        <w:rPr>
          <w:lang w:val="tr-TR"/>
        </w:rPr>
        <w:t>antiinflamatuvar</w:t>
      </w:r>
      <w:proofErr w:type="spellEnd"/>
      <w:r w:rsidRPr="00A4651C">
        <w:rPr>
          <w:lang w:val="tr-TR"/>
        </w:rPr>
        <w:t xml:space="preserve"> ilaçlar gibi </w:t>
      </w:r>
      <w:proofErr w:type="spellStart"/>
      <w:r w:rsidRPr="00A4651C">
        <w:rPr>
          <w:lang w:val="tr-TR"/>
        </w:rPr>
        <w:t>Naproksen</w:t>
      </w:r>
      <w:proofErr w:type="spellEnd"/>
      <w:r w:rsidRPr="00A4651C">
        <w:rPr>
          <w:lang w:val="tr-TR"/>
        </w:rPr>
        <w:t xml:space="preserve"> </w:t>
      </w:r>
      <w:proofErr w:type="spellStart"/>
      <w:r w:rsidRPr="00A4651C">
        <w:rPr>
          <w:lang w:val="tr-TR"/>
        </w:rPr>
        <w:t>prostaglandinlerin</w:t>
      </w:r>
      <w:proofErr w:type="spellEnd"/>
      <w:r w:rsidRPr="00A4651C">
        <w:rPr>
          <w:lang w:val="tr-TR"/>
        </w:rPr>
        <w:t xml:space="preserve"> oluşmasını katalize eden </w:t>
      </w:r>
      <w:proofErr w:type="spellStart"/>
      <w:r w:rsidRPr="00A4651C">
        <w:rPr>
          <w:lang w:val="tr-TR"/>
        </w:rPr>
        <w:t>siklooksijenaz</w:t>
      </w:r>
      <w:proofErr w:type="spellEnd"/>
      <w:r w:rsidRPr="00A4651C">
        <w:rPr>
          <w:lang w:val="tr-TR"/>
        </w:rPr>
        <w:t xml:space="preserve"> (COX-1 ve COX-2) enzimlerini dolayısıyla </w:t>
      </w:r>
      <w:proofErr w:type="spellStart"/>
      <w:r w:rsidRPr="00A4651C">
        <w:rPr>
          <w:lang w:val="tr-TR"/>
        </w:rPr>
        <w:t>prostaglandin</w:t>
      </w:r>
      <w:proofErr w:type="spellEnd"/>
      <w:r w:rsidRPr="00A4651C">
        <w:rPr>
          <w:lang w:val="tr-TR"/>
        </w:rPr>
        <w:t xml:space="preserve"> sentezini </w:t>
      </w:r>
      <w:proofErr w:type="spellStart"/>
      <w:r w:rsidRPr="00A4651C">
        <w:rPr>
          <w:lang w:val="tr-TR"/>
        </w:rPr>
        <w:t>inhibe</w:t>
      </w:r>
      <w:proofErr w:type="spellEnd"/>
      <w:r w:rsidRPr="00A4651C">
        <w:rPr>
          <w:lang w:val="tr-TR"/>
        </w:rPr>
        <w:t xml:space="preserve"> ederek etki gösterir.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bir santral sinir sistemi </w:t>
      </w:r>
      <w:proofErr w:type="spellStart"/>
      <w:r w:rsidRPr="00A4651C">
        <w:rPr>
          <w:lang w:val="tr-TR"/>
        </w:rPr>
        <w:t>depresanı</w:t>
      </w:r>
      <w:proofErr w:type="spellEnd"/>
      <w:r w:rsidRPr="00A4651C">
        <w:rPr>
          <w:lang w:val="tr-TR"/>
        </w:rPr>
        <w:t xml:space="preserve"> değildir ve metabolizma enzimlerini aktive etmez.</w:t>
      </w:r>
    </w:p>
    <w:p w:rsidR="00290C08" w:rsidRPr="00A4651C" w:rsidRDefault="00290C08" w:rsidP="0088131E">
      <w:pPr>
        <w:spacing w:line="276" w:lineRule="auto"/>
        <w:jc w:val="both"/>
        <w:rPr>
          <w:lang w:val="tr-TR"/>
        </w:rPr>
      </w:pPr>
    </w:p>
    <w:p w:rsidR="004F5426" w:rsidRPr="00A4651C" w:rsidRDefault="009E7D27" w:rsidP="0088131E">
      <w:pPr>
        <w:spacing w:line="276" w:lineRule="auto"/>
        <w:jc w:val="both"/>
        <w:rPr>
          <w:b/>
          <w:lang w:val="tr-TR"/>
        </w:rPr>
      </w:pPr>
      <w:r w:rsidRPr="00A4651C">
        <w:rPr>
          <w:b/>
          <w:lang w:val="tr-TR"/>
        </w:rPr>
        <w:t xml:space="preserve">5.2. </w:t>
      </w:r>
      <w:r w:rsidR="004F5426" w:rsidRPr="00A4651C">
        <w:rPr>
          <w:b/>
          <w:lang w:val="tr-TR"/>
        </w:rPr>
        <w:t>Farmakokinetik özellikler</w:t>
      </w:r>
    </w:p>
    <w:p w:rsidR="00FE15CE" w:rsidRPr="00A4651C" w:rsidRDefault="00FE15CE" w:rsidP="00FE15CE">
      <w:pPr>
        <w:spacing w:line="276" w:lineRule="auto"/>
        <w:jc w:val="both"/>
        <w:rPr>
          <w:lang w:val="tr-TR"/>
        </w:rPr>
      </w:pPr>
      <w:r w:rsidRPr="00A4651C">
        <w:rPr>
          <w:u w:val="single"/>
          <w:lang w:val="tr-TR"/>
        </w:rPr>
        <w:t>Emilim:</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suda kolay erir ve oral olarak alındıktan sonra gastrointestinal kanaldan süratli ve tam olarak emilir. Bu hızlı ve tam emilim sonucu ağrının giderilmesi alındıktan 20 dakika sonra belirgin bir şekilde başlar. Doruk plazma düzeyine 1-2 saatte ulaşır ve normalde</w:t>
      </w:r>
    </w:p>
    <w:p w:rsidR="00FE15CE" w:rsidRPr="00A4651C" w:rsidRDefault="00FE15CE" w:rsidP="00FE15CE">
      <w:pPr>
        <w:spacing w:line="276" w:lineRule="auto"/>
        <w:jc w:val="both"/>
        <w:rPr>
          <w:lang w:val="tr-TR"/>
        </w:rPr>
      </w:pPr>
      <w:r w:rsidRPr="00A4651C">
        <w:rPr>
          <w:lang w:val="tr-TR"/>
        </w:rPr>
        <w:t>4-5 dozdan sonra bu doruk düzey sabit hale gelir.</w:t>
      </w:r>
    </w:p>
    <w:p w:rsidR="00FE15CE" w:rsidRPr="00A4651C" w:rsidRDefault="00FE15CE" w:rsidP="00FE15CE">
      <w:pPr>
        <w:spacing w:line="276" w:lineRule="auto"/>
        <w:jc w:val="both"/>
        <w:rPr>
          <w:u w:val="single"/>
          <w:lang w:val="tr-TR"/>
        </w:rPr>
      </w:pPr>
    </w:p>
    <w:p w:rsidR="00FE15CE" w:rsidRPr="00A4651C" w:rsidRDefault="00FE15CE" w:rsidP="00FE15CE">
      <w:pPr>
        <w:spacing w:line="276" w:lineRule="auto"/>
        <w:jc w:val="both"/>
        <w:rPr>
          <w:lang w:val="tr-TR"/>
        </w:rPr>
      </w:pPr>
      <w:r w:rsidRPr="00A4651C">
        <w:rPr>
          <w:u w:val="single"/>
          <w:lang w:val="tr-TR"/>
        </w:rPr>
        <w:t xml:space="preserve">Dağılım: </w:t>
      </w:r>
    </w:p>
    <w:p w:rsidR="00FE15CE" w:rsidRPr="00A4651C" w:rsidRDefault="00FE15CE" w:rsidP="00FE15CE">
      <w:pPr>
        <w:spacing w:line="276" w:lineRule="auto"/>
        <w:jc w:val="both"/>
        <w:rPr>
          <w:lang w:val="tr-TR"/>
        </w:rPr>
      </w:pPr>
      <w:r w:rsidRPr="00A4651C">
        <w:rPr>
          <w:lang w:val="tr-TR"/>
        </w:rPr>
        <w:t>Ortalama plazma yarı ömrü yaklaşık 13 saattir ve tedavi dozlarında % 99’dan fazlası plazma proteinlerine bağlanır.</w:t>
      </w:r>
    </w:p>
    <w:p w:rsidR="00EE1D76" w:rsidRPr="00A4651C" w:rsidRDefault="00EE1D76" w:rsidP="00FE15CE">
      <w:pPr>
        <w:spacing w:line="276" w:lineRule="auto"/>
        <w:jc w:val="both"/>
        <w:rPr>
          <w:lang w:val="tr-TR"/>
        </w:rPr>
      </w:pPr>
    </w:p>
    <w:p w:rsidR="00FE15CE" w:rsidRPr="00A4651C" w:rsidRDefault="00FE15CE" w:rsidP="00FE15CE">
      <w:pPr>
        <w:spacing w:line="276" w:lineRule="auto"/>
        <w:jc w:val="both"/>
        <w:rPr>
          <w:lang w:val="tr-TR"/>
        </w:rPr>
      </w:pPr>
      <w:r w:rsidRPr="00A4651C">
        <w:rPr>
          <w:u w:val="single"/>
          <w:lang w:val="tr-TR"/>
        </w:rPr>
        <w:t>Biyotransformasyon:</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karaciğerde yaygın biçimde 6-0 </w:t>
      </w:r>
      <w:proofErr w:type="spellStart"/>
      <w:r w:rsidRPr="00A4651C">
        <w:rPr>
          <w:lang w:val="tr-TR"/>
        </w:rPr>
        <w:t>dezmetil</w:t>
      </w:r>
      <w:proofErr w:type="spellEnd"/>
      <w:r w:rsidRPr="00A4651C">
        <w:rPr>
          <w:lang w:val="tr-TR"/>
        </w:rPr>
        <w:t xml:space="preserve"> </w:t>
      </w:r>
      <w:proofErr w:type="spellStart"/>
      <w:r w:rsidRPr="00A4651C">
        <w:rPr>
          <w:lang w:val="tr-TR"/>
        </w:rPr>
        <w:t>Naproksen’e</w:t>
      </w:r>
      <w:proofErr w:type="spellEnd"/>
      <w:r w:rsidRPr="00A4651C">
        <w:rPr>
          <w:lang w:val="tr-TR"/>
        </w:rPr>
        <w:t xml:space="preserve"> </w:t>
      </w:r>
      <w:proofErr w:type="spellStart"/>
      <w:r w:rsidRPr="00A4651C">
        <w:rPr>
          <w:lang w:val="tr-TR"/>
        </w:rPr>
        <w:t>metabolize</w:t>
      </w:r>
      <w:proofErr w:type="spellEnd"/>
      <w:r w:rsidRPr="00A4651C">
        <w:rPr>
          <w:lang w:val="tr-TR"/>
        </w:rPr>
        <w:t xml:space="preserve"> olur.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u w:val="single"/>
          <w:lang w:val="tr-TR"/>
        </w:rPr>
        <w:t>Eliminasyon:</w:t>
      </w:r>
    </w:p>
    <w:p w:rsidR="00FE15CE" w:rsidRPr="00A4651C" w:rsidRDefault="00FE15CE" w:rsidP="00FE15CE">
      <w:pPr>
        <w:spacing w:line="276" w:lineRule="auto"/>
        <w:jc w:val="both"/>
        <w:rPr>
          <w:lang w:val="tr-TR"/>
        </w:rPr>
      </w:pPr>
      <w:r w:rsidRPr="00A4651C">
        <w:rPr>
          <w:lang w:val="tr-TR"/>
        </w:rPr>
        <w:t xml:space="preserve">Verilen dozun yaklaşık %95’i </w:t>
      </w:r>
      <w:proofErr w:type="spellStart"/>
      <w:proofErr w:type="gramStart"/>
      <w:r w:rsidRPr="00A4651C">
        <w:rPr>
          <w:lang w:val="tr-TR"/>
        </w:rPr>
        <w:t>Naproksen</w:t>
      </w:r>
      <w:proofErr w:type="spellEnd"/>
      <w:r w:rsidRPr="00A4651C">
        <w:rPr>
          <w:lang w:val="tr-TR"/>
        </w:rPr>
        <w:t xml:space="preserve"> , 6</w:t>
      </w:r>
      <w:proofErr w:type="gramEnd"/>
      <w:r w:rsidRPr="00A4651C">
        <w:rPr>
          <w:lang w:val="tr-TR"/>
        </w:rPr>
        <w:t xml:space="preserve">-0 </w:t>
      </w:r>
      <w:proofErr w:type="spellStart"/>
      <w:r w:rsidRPr="00A4651C">
        <w:rPr>
          <w:lang w:val="tr-TR"/>
        </w:rPr>
        <w:t>dezmetil</w:t>
      </w:r>
      <w:proofErr w:type="spellEnd"/>
      <w:r w:rsidRPr="00A4651C">
        <w:rPr>
          <w:lang w:val="tr-TR"/>
        </w:rPr>
        <w:t xml:space="preserve"> </w:t>
      </w:r>
      <w:proofErr w:type="spellStart"/>
      <w:r w:rsidRPr="00A4651C">
        <w:rPr>
          <w:lang w:val="tr-TR"/>
        </w:rPr>
        <w:t>Naproksen</w:t>
      </w:r>
      <w:proofErr w:type="spellEnd"/>
      <w:r w:rsidRPr="00A4651C">
        <w:rPr>
          <w:lang w:val="tr-TR"/>
        </w:rPr>
        <w:t xml:space="preserve"> veya </w:t>
      </w:r>
      <w:proofErr w:type="spellStart"/>
      <w:r w:rsidRPr="00A4651C">
        <w:rPr>
          <w:lang w:val="tr-TR"/>
        </w:rPr>
        <w:t>konjugatları</w:t>
      </w:r>
      <w:proofErr w:type="spellEnd"/>
      <w:r w:rsidRPr="00A4651C">
        <w:rPr>
          <w:lang w:val="tr-TR"/>
        </w:rPr>
        <w:t xml:space="preserve"> şeklinde idrarla atılır. Atılım oranı, ilacın plazmadan kaybolma oranına aynen uymaktadır.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b/>
          <w:bCs/>
          <w:lang w:val="tr-TR"/>
        </w:rPr>
        <w:t>Hastalardaki karakteristik özellikler</w:t>
      </w:r>
    </w:p>
    <w:p w:rsidR="00FE15CE" w:rsidRPr="00A4651C" w:rsidRDefault="00FE15CE" w:rsidP="00FE15CE">
      <w:pPr>
        <w:spacing w:line="276" w:lineRule="auto"/>
        <w:jc w:val="both"/>
        <w:rPr>
          <w:lang w:val="tr-TR"/>
        </w:rPr>
      </w:pPr>
      <w:r w:rsidRPr="00A4651C">
        <w:rPr>
          <w:lang w:val="tr-TR"/>
        </w:rPr>
        <w:t>Yaş ve cinsiyet</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ile herhangi bir pediyatrik çalışma gerçekleştirilmediğinden çocuklarda </w:t>
      </w:r>
      <w:proofErr w:type="spellStart"/>
      <w:r w:rsidRPr="00A4651C">
        <w:rPr>
          <w:lang w:val="tr-TR"/>
        </w:rPr>
        <w:t>naproksen</w:t>
      </w:r>
      <w:proofErr w:type="spellEnd"/>
      <w:r w:rsidRPr="00A4651C">
        <w:rPr>
          <w:lang w:val="tr-TR"/>
        </w:rPr>
        <w:t xml:space="preserve"> sodyumun güvenilirliği gösterilmemiştir. Ancak sadece </w:t>
      </w:r>
      <w:proofErr w:type="spellStart"/>
      <w:r w:rsidRPr="00A4651C">
        <w:rPr>
          <w:lang w:val="tr-TR"/>
        </w:rPr>
        <w:t>juvenil</w:t>
      </w:r>
      <w:proofErr w:type="spellEnd"/>
      <w:r w:rsidRPr="00A4651C">
        <w:rPr>
          <w:lang w:val="tr-TR"/>
        </w:rPr>
        <w:t xml:space="preserve"> </w:t>
      </w:r>
      <w:proofErr w:type="spellStart"/>
      <w:r w:rsidRPr="00A4651C">
        <w:rPr>
          <w:lang w:val="tr-TR"/>
        </w:rPr>
        <w:t>romatoid</w:t>
      </w:r>
      <w:proofErr w:type="spellEnd"/>
      <w:r w:rsidRPr="00A4651C">
        <w:rPr>
          <w:lang w:val="tr-TR"/>
        </w:rPr>
        <w:t xml:space="preserve"> </w:t>
      </w:r>
      <w:proofErr w:type="spellStart"/>
      <w:r w:rsidRPr="00A4651C">
        <w:rPr>
          <w:lang w:val="tr-TR"/>
        </w:rPr>
        <w:t>artrit’te</w:t>
      </w:r>
      <w:proofErr w:type="spellEnd"/>
      <w:r w:rsidRPr="00A4651C">
        <w:rPr>
          <w:lang w:val="tr-TR"/>
        </w:rPr>
        <w:t xml:space="preserve"> 5 yaşından büyük çocuklarda kullanılmalıdır.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Böbrek yetmezliği</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sodyum </w:t>
      </w:r>
      <w:proofErr w:type="spellStart"/>
      <w:r w:rsidRPr="00A4651C">
        <w:rPr>
          <w:lang w:val="tr-TR"/>
        </w:rPr>
        <w:t>farmakokinetiği</w:t>
      </w:r>
      <w:proofErr w:type="spellEnd"/>
      <w:r w:rsidRPr="00A4651C">
        <w:rPr>
          <w:lang w:val="tr-TR"/>
        </w:rPr>
        <w:t xml:space="preserve"> böbrek yetmezliği hastalarda gösterilmemiştir. </w:t>
      </w:r>
      <w:proofErr w:type="spellStart"/>
      <w:r w:rsidRPr="00A4651C">
        <w:rPr>
          <w:lang w:val="tr-TR"/>
        </w:rPr>
        <w:t>Naproksenin</w:t>
      </w:r>
      <w:proofErr w:type="spellEnd"/>
      <w:r w:rsidRPr="00A4651C">
        <w:rPr>
          <w:lang w:val="tr-TR"/>
        </w:rPr>
        <w:t xml:space="preserve"> </w:t>
      </w:r>
      <w:proofErr w:type="spellStart"/>
      <w:r w:rsidRPr="00A4651C">
        <w:rPr>
          <w:lang w:val="tr-TR"/>
        </w:rPr>
        <w:t>metabolize</w:t>
      </w:r>
      <w:proofErr w:type="spellEnd"/>
      <w:r w:rsidRPr="00A4651C">
        <w:rPr>
          <w:lang w:val="tr-TR"/>
        </w:rPr>
        <w:t xml:space="preserve"> olup </w:t>
      </w:r>
      <w:proofErr w:type="spellStart"/>
      <w:r w:rsidRPr="00A4651C">
        <w:rPr>
          <w:lang w:val="tr-TR"/>
        </w:rPr>
        <w:t>metabolitlerinin</w:t>
      </w:r>
      <w:proofErr w:type="spellEnd"/>
      <w:r w:rsidRPr="00A4651C">
        <w:rPr>
          <w:lang w:val="tr-TR"/>
        </w:rPr>
        <w:t xml:space="preserve"> böbreklerle atıldığı bilgisine dayanarak </w:t>
      </w:r>
      <w:proofErr w:type="spellStart"/>
      <w:r w:rsidRPr="00A4651C">
        <w:rPr>
          <w:lang w:val="tr-TR"/>
        </w:rPr>
        <w:t>naproksen</w:t>
      </w:r>
      <w:proofErr w:type="spellEnd"/>
      <w:r w:rsidRPr="00A4651C">
        <w:rPr>
          <w:lang w:val="tr-TR"/>
        </w:rPr>
        <w:t xml:space="preserve"> </w:t>
      </w:r>
      <w:proofErr w:type="spellStart"/>
      <w:r w:rsidRPr="00A4651C">
        <w:rPr>
          <w:lang w:val="tr-TR"/>
        </w:rPr>
        <w:t>metabolitlerinin</w:t>
      </w:r>
      <w:proofErr w:type="spellEnd"/>
      <w:r w:rsidRPr="00A4651C">
        <w:rPr>
          <w:lang w:val="tr-TR"/>
        </w:rPr>
        <w:t xml:space="preserve"> böbrek yetmezliği varlığında birikme potansiyeli söz konusudur. Ciddi böbrek yetmezliği olan hastalarda </w:t>
      </w:r>
      <w:proofErr w:type="spellStart"/>
      <w:r w:rsidRPr="00A4651C">
        <w:rPr>
          <w:lang w:val="tr-TR"/>
        </w:rPr>
        <w:t>naproksen’in</w:t>
      </w:r>
      <w:proofErr w:type="spellEnd"/>
      <w:r w:rsidRPr="00A4651C">
        <w:rPr>
          <w:lang w:val="tr-TR"/>
        </w:rPr>
        <w:t xml:space="preserve"> </w:t>
      </w:r>
      <w:proofErr w:type="gramStart"/>
      <w:r w:rsidRPr="00A4651C">
        <w:rPr>
          <w:lang w:val="tr-TR"/>
        </w:rPr>
        <w:t>eliminasyonu</w:t>
      </w:r>
      <w:proofErr w:type="gramEnd"/>
      <w:r w:rsidRPr="00A4651C">
        <w:rPr>
          <w:lang w:val="tr-TR"/>
        </w:rPr>
        <w:t xml:space="preserve"> azalır. </w:t>
      </w:r>
      <w:proofErr w:type="spellStart"/>
      <w:r w:rsidRPr="00A4651C">
        <w:rPr>
          <w:lang w:val="tr-TR"/>
        </w:rPr>
        <w:t>Naproksen</w:t>
      </w:r>
      <w:proofErr w:type="spellEnd"/>
      <w:r w:rsidRPr="00A4651C">
        <w:rPr>
          <w:lang w:val="tr-TR"/>
        </w:rPr>
        <w:t xml:space="preserve"> içeren ürünler orta-ciddi böbrek yetmezliği olan hastalarda önerilmemektedir (kreatinin klerensi &lt;30 ml/dak)</w:t>
      </w:r>
    </w:p>
    <w:p w:rsidR="000120BA" w:rsidRPr="00A4651C" w:rsidRDefault="000120BA" w:rsidP="0088131E">
      <w:pPr>
        <w:spacing w:line="276" w:lineRule="auto"/>
        <w:jc w:val="both"/>
        <w:rPr>
          <w:lang w:val="tr-TR"/>
        </w:rPr>
      </w:pPr>
    </w:p>
    <w:p w:rsidR="00861A0C" w:rsidRPr="00A4651C" w:rsidRDefault="00861A0C" w:rsidP="0088131E">
      <w:pPr>
        <w:spacing w:line="276" w:lineRule="auto"/>
        <w:jc w:val="both"/>
        <w:rPr>
          <w:b/>
          <w:lang w:val="tr-TR"/>
        </w:rPr>
      </w:pPr>
      <w:r w:rsidRPr="00A4651C">
        <w:rPr>
          <w:b/>
          <w:lang w:val="tr-TR"/>
        </w:rPr>
        <w:t>5.3. Klinik öncesi güvenlilik verileri</w:t>
      </w:r>
    </w:p>
    <w:p w:rsidR="00FE15CE" w:rsidRPr="00A4651C" w:rsidRDefault="00FE15CE" w:rsidP="00FE15CE">
      <w:pPr>
        <w:spacing w:line="276" w:lineRule="auto"/>
        <w:jc w:val="both"/>
        <w:rPr>
          <w:lang w:val="tr-TR"/>
        </w:rPr>
      </w:pPr>
      <w:r w:rsidRPr="00A4651C">
        <w:rPr>
          <w:lang w:val="tr-TR"/>
        </w:rPr>
        <w:t>Karsinojenisite</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w:t>
      </w:r>
      <w:proofErr w:type="spellStart"/>
      <w:r w:rsidRPr="00A4651C">
        <w:rPr>
          <w:lang w:val="tr-TR"/>
        </w:rPr>
        <w:t>ratlarda</w:t>
      </w:r>
      <w:proofErr w:type="spellEnd"/>
      <w:r w:rsidRPr="00A4651C">
        <w:rPr>
          <w:lang w:val="tr-TR"/>
        </w:rPr>
        <w:t xml:space="preserve"> yemeklerle birlikte 8, 16 ve 24 mg/kg/gün’lük dozlarda 24 ay boyunca verilmiştir. Karsinojenisite görülmemiştir.</w:t>
      </w:r>
    </w:p>
    <w:p w:rsidR="00FE15CE" w:rsidRPr="00A4651C" w:rsidRDefault="00FE15CE" w:rsidP="00FE15CE">
      <w:pPr>
        <w:spacing w:line="276" w:lineRule="auto"/>
        <w:jc w:val="both"/>
        <w:rPr>
          <w:lang w:val="tr-TR"/>
        </w:rPr>
      </w:pPr>
    </w:p>
    <w:p w:rsidR="00EE1D76" w:rsidRPr="00A4651C" w:rsidRDefault="00EE1D76"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Mutajenite</w:t>
      </w:r>
      <w:proofErr w:type="spellEnd"/>
    </w:p>
    <w:p w:rsidR="00FE15CE" w:rsidRPr="00A4651C" w:rsidRDefault="00FE15CE" w:rsidP="00FE15CE">
      <w:pPr>
        <w:spacing w:line="276" w:lineRule="auto"/>
        <w:jc w:val="both"/>
        <w:rPr>
          <w:lang w:val="tr-TR"/>
        </w:rPr>
      </w:pPr>
      <w:proofErr w:type="spellStart"/>
      <w:r w:rsidRPr="00A4651C">
        <w:rPr>
          <w:lang w:val="tr-TR"/>
        </w:rPr>
        <w:t>Salmonella</w:t>
      </w:r>
      <w:proofErr w:type="spellEnd"/>
      <w:r w:rsidRPr="00A4651C">
        <w:rPr>
          <w:lang w:val="tr-TR"/>
        </w:rPr>
        <w:t xml:space="preserve"> </w:t>
      </w:r>
      <w:proofErr w:type="spellStart"/>
      <w:r w:rsidRPr="00A4651C">
        <w:rPr>
          <w:lang w:val="tr-TR"/>
        </w:rPr>
        <w:t>typhimurium</w:t>
      </w:r>
      <w:proofErr w:type="spellEnd"/>
      <w:r w:rsidRPr="00A4651C">
        <w:rPr>
          <w:lang w:val="tr-TR"/>
        </w:rPr>
        <w:t xml:space="preserve">, </w:t>
      </w:r>
      <w:proofErr w:type="spellStart"/>
      <w:r w:rsidRPr="00A4651C">
        <w:rPr>
          <w:lang w:val="tr-TR"/>
        </w:rPr>
        <w:t>Sachharomyces</w:t>
      </w:r>
      <w:proofErr w:type="spellEnd"/>
      <w:r w:rsidRPr="00A4651C">
        <w:rPr>
          <w:lang w:val="tr-TR"/>
        </w:rPr>
        <w:t xml:space="preserve"> </w:t>
      </w:r>
      <w:proofErr w:type="spellStart"/>
      <w:r w:rsidRPr="00A4651C">
        <w:rPr>
          <w:lang w:val="tr-TR"/>
        </w:rPr>
        <w:t>cerevisisae</w:t>
      </w:r>
      <w:proofErr w:type="spellEnd"/>
      <w:r w:rsidRPr="00A4651C">
        <w:rPr>
          <w:lang w:val="tr-TR"/>
        </w:rPr>
        <w:t xml:space="preserve"> ve fare </w:t>
      </w:r>
      <w:proofErr w:type="spellStart"/>
      <w:r w:rsidRPr="00A4651C">
        <w:rPr>
          <w:lang w:val="tr-TR"/>
        </w:rPr>
        <w:t>lemfoma</w:t>
      </w:r>
      <w:proofErr w:type="spellEnd"/>
      <w:r w:rsidRPr="00A4651C">
        <w:rPr>
          <w:lang w:val="tr-TR"/>
        </w:rPr>
        <w:t xml:space="preserve"> testlerinde </w:t>
      </w:r>
      <w:proofErr w:type="spellStart"/>
      <w:r w:rsidRPr="00A4651C">
        <w:rPr>
          <w:lang w:val="tr-TR"/>
        </w:rPr>
        <w:t>mutajenite</w:t>
      </w:r>
      <w:proofErr w:type="spellEnd"/>
      <w:r w:rsidRPr="00A4651C">
        <w:rPr>
          <w:lang w:val="tr-TR"/>
        </w:rPr>
        <w:t xml:space="preserve"> gözlenmemiştir.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Fertilite</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erkek </w:t>
      </w:r>
      <w:proofErr w:type="spellStart"/>
      <w:r w:rsidRPr="00A4651C">
        <w:rPr>
          <w:lang w:val="tr-TR"/>
        </w:rPr>
        <w:t>ratlarda</w:t>
      </w:r>
      <w:proofErr w:type="spellEnd"/>
      <w:r w:rsidRPr="00A4651C">
        <w:rPr>
          <w:lang w:val="tr-TR"/>
        </w:rPr>
        <w:t xml:space="preserve"> 30 mg/kg/gün, dişi </w:t>
      </w:r>
      <w:proofErr w:type="spellStart"/>
      <w:r w:rsidRPr="00A4651C">
        <w:rPr>
          <w:lang w:val="tr-TR"/>
        </w:rPr>
        <w:t>ratlarda</w:t>
      </w:r>
      <w:proofErr w:type="spellEnd"/>
      <w:r w:rsidRPr="00A4651C">
        <w:rPr>
          <w:lang w:val="tr-TR"/>
        </w:rPr>
        <w:t xml:space="preserve"> 20 mg/kg/gün oral dozlarında uygulandığında </w:t>
      </w:r>
      <w:proofErr w:type="spellStart"/>
      <w:r w:rsidRPr="00A4651C">
        <w:rPr>
          <w:lang w:val="tr-TR"/>
        </w:rPr>
        <w:t>fertiliteyi</w:t>
      </w:r>
      <w:proofErr w:type="spellEnd"/>
      <w:r w:rsidRPr="00A4651C">
        <w:rPr>
          <w:lang w:val="tr-TR"/>
        </w:rPr>
        <w:t xml:space="preserve"> etkilememiştir.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r w:rsidRPr="00A4651C">
        <w:rPr>
          <w:lang w:val="tr-TR"/>
        </w:rPr>
        <w:t>Teratojenite</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w:t>
      </w:r>
      <w:proofErr w:type="spellStart"/>
      <w:r w:rsidRPr="00A4651C">
        <w:rPr>
          <w:lang w:val="tr-TR"/>
        </w:rPr>
        <w:t>rat</w:t>
      </w:r>
      <w:proofErr w:type="spellEnd"/>
      <w:r w:rsidRPr="00A4651C">
        <w:rPr>
          <w:lang w:val="tr-TR"/>
        </w:rPr>
        <w:t xml:space="preserve"> ve tavşanlarda </w:t>
      </w:r>
      <w:proofErr w:type="spellStart"/>
      <w:r w:rsidRPr="00A4651C">
        <w:rPr>
          <w:lang w:val="tr-TR"/>
        </w:rPr>
        <w:t>organogenezis</w:t>
      </w:r>
      <w:proofErr w:type="spellEnd"/>
      <w:r w:rsidRPr="00A4651C">
        <w:rPr>
          <w:lang w:val="tr-TR"/>
        </w:rPr>
        <w:t xml:space="preserve"> döneminde 20 mg/kg/gün oral dozlarında uygulandığında teratojenite görülmemiştir.</w:t>
      </w:r>
    </w:p>
    <w:p w:rsidR="00FE15CE" w:rsidRPr="00A4651C" w:rsidRDefault="00FE15CE" w:rsidP="00FE15CE">
      <w:pPr>
        <w:spacing w:line="276" w:lineRule="auto"/>
        <w:jc w:val="both"/>
        <w:rPr>
          <w:lang w:val="tr-TR"/>
        </w:rPr>
      </w:pPr>
    </w:p>
    <w:p w:rsidR="00FE15CE" w:rsidRPr="00A4651C" w:rsidRDefault="00FE15CE" w:rsidP="00FE15CE">
      <w:pPr>
        <w:spacing w:line="276" w:lineRule="auto"/>
        <w:jc w:val="both"/>
        <w:rPr>
          <w:lang w:val="tr-TR"/>
        </w:rPr>
      </w:pPr>
      <w:proofErr w:type="spellStart"/>
      <w:r w:rsidRPr="00A4651C">
        <w:rPr>
          <w:lang w:val="tr-TR"/>
        </w:rPr>
        <w:t>Perinatal</w:t>
      </w:r>
      <w:proofErr w:type="spellEnd"/>
      <w:r w:rsidRPr="00A4651C">
        <w:rPr>
          <w:lang w:val="tr-TR"/>
        </w:rPr>
        <w:t>/</w:t>
      </w:r>
      <w:proofErr w:type="spellStart"/>
      <w:r w:rsidRPr="00A4651C">
        <w:rPr>
          <w:lang w:val="tr-TR"/>
        </w:rPr>
        <w:t>Postnatal</w:t>
      </w:r>
      <w:proofErr w:type="spellEnd"/>
      <w:r w:rsidRPr="00A4651C">
        <w:rPr>
          <w:lang w:val="tr-TR"/>
        </w:rPr>
        <w:t xml:space="preserve"> Üreme</w:t>
      </w:r>
    </w:p>
    <w:p w:rsidR="00FE15CE" w:rsidRPr="00A4651C" w:rsidRDefault="00FE15CE" w:rsidP="00FE15CE">
      <w:pPr>
        <w:spacing w:line="276" w:lineRule="auto"/>
        <w:jc w:val="both"/>
        <w:rPr>
          <w:lang w:val="tr-TR"/>
        </w:rPr>
      </w:pPr>
      <w:proofErr w:type="spellStart"/>
      <w:r w:rsidRPr="00A4651C">
        <w:rPr>
          <w:lang w:val="tr-TR"/>
        </w:rPr>
        <w:t>Naproksen</w:t>
      </w:r>
      <w:proofErr w:type="spellEnd"/>
      <w:r w:rsidRPr="00A4651C">
        <w:rPr>
          <w:lang w:val="tr-TR"/>
        </w:rPr>
        <w:t xml:space="preserve">, hamile </w:t>
      </w:r>
      <w:proofErr w:type="spellStart"/>
      <w:r w:rsidRPr="00A4651C">
        <w:rPr>
          <w:lang w:val="tr-TR"/>
        </w:rPr>
        <w:t>ratlarda</w:t>
      </w:r>
      <w:proofErr w:type="spellEnd"/>
      <w:r w:rsidRPr="00A4651C">
        <w:rPr>
          <w:lang w:val="tr-TR"/>
        </w:rPr>
        <w:t xml:space="preserve"> 3. trimester süresince 2, 10 ve 20 mg/kg/gün dozlarında oral verildiğinde zor doğuma sebep olmuştur. Bunlar, bu sınıf bileşiklerin bilinen etkilerindendir ve hamile </w:t>
      </w:r>
      <w:proofErr w:type="spellStart"/>
      <w:r w:rsidRPr="00A4651C">
        <w:rPr>
          <w:lang w:val="tr-TR"/>
        </w:rPr>
        <w:t>ratlarda</w:t>
      </w:r>
      <w:proofErr w:type="spellEnd"/>
      <w:r w:rsidRPr="00A4651C">
        <w:rPr>
          <w:lang w:val="tr-TR"/>
        </w:rPr>
        <w:t xml:space="preserve"> </w:t>
      </w:r>
      <w:proofErr w:type="spellStart"/>
      <w:r w:rsidRPr="00A4651C">
        <w:rPr>
          <w:lang w:val="tr-TR"/>
        </w:rPr>
        <w:t>asetil</w:t>
      </w:r>
      <w:proofErr w:type="spellEnd"/>
      <w:r w:rsidRPr="00A4651C">
        <w:rPr>
          <w:lang w:val="tr-TR"/>
        </w:rPr>
        <w:t xml:space="preserve"> </w:t>
      </w:r>
      <w:proofErr w:type="spellStart"/>
      <w:r w:rsidRPr="00A4651C">
        <w:rPr>
          <w:lang w:val="tr-TR"/>
        </w:rPr>
        <w:t>salisik</w:t>
      </w:r>
      <w:proofErr w:type="spellEnd"/>
      <w:r w:rsidRPr="00A4651C">
        <w:rPr>
          <w:lang w:val="tr-TR"/>
        </w:rPr>
        <w:t xml:space="preserve"> asit ve </w:t>
      </w:r>
      <w:proofErr w:type="spellStart"/>
      <w:r w:rsidRPr="00A4651C">
        <w:rPr>
          <w:lang w:val="tr-TR"/>
        </w:rPr>
        <w:t>indometazin</w:t>
      </w:r>
      <w:proofErr w:type="spellEnd"/>
      <w:r w:rsidRPr="00A4651C">
        <w:rPr>
          <w:lang w:val="tr-TR"/>
        </w:rPr>
        <w:t xml:space="preserve"> ile de gösterilmiştir.</w:t>
      </w:r>
    </w:p>
    <w:p w:rsidR="00FE15CE" w:rsidRPr="00A4651C" w:rsidRDefault="00FE15CE" w:rsidP="00FE15CE">
      <w:pPr>
        <w:spacing w:line="276" w:lineRule="auto"/>
        <w:jc w:val="both"/>
        <w:rPr>
          <w:lang w:val="tr-TR"/>
        </w:rPr>
      </w:pPr>
    </w:p>
    <w:p w:rsidR="00FE15CE" w:rsidRPr="00A4651C" w:rsidRDefault="00FE15CE" w:rsidP="00FE15CE">
      <w:pPr>
        <w:spacing w:line="276" w:lineRule="auto"/>
        <w:ind w:left="284"/>
        <w:jc w:val="both"/>
        <w:rPr>
          <w:lang w:val="tr-TR"/>
        </w:rPr>
      </w:pPr>
      <w:r w:rsidRPr="00A4651C">
        <w:rPr>
          <w:lang w:val="tr-TR"/>
        </w:rPr>
        <w:t>Akut oral toksisite LD50: 248 mg/kg (</w:t>
      </w:r>
      <w:proofErr w:type="spellStart"/>
      <w:r w:rsidRPr="00A4651C">
        <w:rPr>
          <w:lang w:val="tr-TR"/>
        </w:rPr>
        <w:t>ratlarda</w:t>
      </w:r>
      <w:proofErr w:type="spellEnd"/>
      <w:r w:rsidRPr="00A4651C">
        <w:rPr>
          <w:lang w:val="tr-TR"/>
        </w:rPr>
        <w:t>)</w:t>
      </w:r>
    </w:p>
    <w:p w:rsidR="00FE15CE" w:rsidRPr="00A4651C" w:rsidRDefault="00FE15CE" w:rsidP="00FE15CE">
      <w:pPr>
        <w:spacing w:line="276" w:lineRule="auto"/>
        <w:ind w:left="284"/>
        <w:jc w:val="both"/>
        <w:rPr>
          <w:lang w:val="tr-TR"/>
        </w:rPr>
      </w:pPr>
      <w:r w:rsidRPr="00A4651C">
        <w:rPr>
          <w:lang w:val="tr-TR"/>
        </w:rPr>
        <w:t xml:space="preserve">Oral </w:t>
      </w:r>
      <w:proofErr w:type="gramStart"/>
      <w:r w:rsidRPr="00A4651C">
        <w:rPr>
          <w:lang w:val="tr-TR"/>
        </w:rPr>
        <w:t>LD50 :500</w:t>
      </w:r>
      <w:proofErr w:type="gramEnd"/>
      <w:r w:rsidRPr="00A4651C">
        <w:rPr>
          <w:lang w:val="tr-TR"/>
        </w:rPr>
        <w:t xml:space="preserve"> mg/kg (</w:t>
      </w:r>
      <w:proofErr w:type="spellStart"/>
      <w:r w:rsidRPr="00A4651C">
        <w:rPr>
          <w:lang w:val="tr-TR"/>
        </w:rPr>
        <w:t>ratlarda</w:t>
      </w:r>
      <w:proofErr w:type="spellEnd"/>
      <w:r w:rsidRPr="00A4651C">
        <w:rPr>
          <w:lang w:val="tr-TR"/>
        </w:rPr>
        <w:t>)</w:t>
      </w:r>
    </w:p>
    <w:p w:rsidR="00FE15CE" w:rsidRPr="00A4651C" w:rsidRDefault="00FE15CE" w:rsidP="00FE15CE">
      <w:pPr>
        <w:spacing w:line="276" w:lineRule="auto"/>
        <w:ind w:left="284"/>
        <w:jc w:val="both"/>
        <w:rPr>
          <w:lang w:val="tr-TR"/>
        </w:rPr>
      </w:pPr>
      <w:r w:rsidRPr="00A4651C">
        <w:rPr>
          <w:lang w:val="tr-TR"/>
        </w:rPr>
        <w:t xml:space="preserve">Oral </w:t>
      </w:r>
      <w:proofErr w:type="gramStart"/>
      <w:r w:rsidRPr="00A4651C">
        <w:rPr>
          <w:lang w:val="tr-TR"/>
        </w:rPr>
        <w:t>LD50 :1200</w:t>
      </w:r>
      <w:proofErr w:type="gramEnd"/>
      <w:r w:rsidRPr="00A4651C">
        <w:rPr>
          <w:lang w:val="tr-TR"/>
        </w:rPr>
        <w:t xml:space="preserve"> mg/kg (farelerde)</w:t>
      </w:r>
    </w:p>
    <w:p w:rsidR="00FE15CE" w:rsidRPr="00A4651C" w:rsidRDefault="00FE15CE" w:rsidP="00FE15CE">
      <w:pPr>
        <w:spacing w:line="276" w:lineRule="auto"/>
        <w:ind w:left="284"/>
        <w:jc w:val="both"/>
        <w:rPr>
          <w:lang w:val="tr-TR"/>
        </w:rPr>
      </w:pPr>
      <w:r w:rsidRPr="00A4651C">
        <w:rPr>
          <w:lang w:val="tr-TR"/>
        </w:rPr>
        <w:t xml:space="preserve">Oral </w:t>
      </w:r>
      <w:proofErr w:type="gramStart"/>
      <w:r w:rsidRPr="00A4651C">
        <w:rPr>
          <w:lang w:val="tr-TR"/>
        </w:rPr>
        <w:t>LD50 :4000</w:t>
      </w:r>
      <w:proofErr w:type="gramEnd"/>
      <w:r w:rsidRPr="00A4651C">
        <w:rPr>
          <w:lang w:val="tr-TR"/>
        </w:rPr>
        <w:t xml:space="preserve"> mg/kg (</w:t>
      </w:r>
      <w:proofErr w:type="spellStart"/>
      <w:r w:rsidRPr="00A4651C">
        <w:rPr>
          <w:lang w:val="tr-TR"/>
        </w:rPr>
        <w:t>hamster</w:t>
      </w:r>
      <w:proofErr w:type="spellEnd"/>
      <w:r w:rsidRPr="00A4651C">
        <w:rPr>
          <w:lang w:val="tr-TR"/>
        </w:rPr>
        <w:t>)</w:t>
      </w:r>
    </w:p>
    <w:p w:rsidR="00FE15CE" w:rsidRPr="00A4651C" w:rsidRDefault="00FE15CE" w:rsidP="00FE15CE">
      <w:pPr>
        <w:spacing w:line="276" w:lineRule="auto"/>
        <w:ind w:left="284"/>
        <w:jc w:val="both"/>
        <w:rPr>
          <w:lang w:val="tr-TR"/>
        </w:rPr>
      </w:pPr>
      <w:r w:rsidRPr="00A4651C">
        <w:rPr>
          <w:lang w:val="tr-TR"/>
        </w:rPr>
        <w:t>Oral LD50 &gt; 1000 mg/kg (köpeklerde)</w:t>
      </w:r>
    </w:p>
    <w:p w:rsidR="00923911" w:rsidRPr="00A4651C" w:rsidRDefault="00923911" w:rsidP="0088131E">
      <w:pPr>
        <w:spacing w:line="276" w:lineRule="auto"/>
        <w:jc w:val="both"/>
      </w:pPr>
    </w:p>
    <w:p w:rsidR="001A5835" w:rsidRPr="00A4651C" w:rsidRDefault="00861A0C" w:rsidP="0088131E">
      <w:pPr>
        <w:spacing w:line="276" w:lineRule="auto"/>
        <w:jc w:val="both"/>
        <w:rPr>
          <w:b/>
          <w:lang w:val="tr-TR"/>
        </w:rPr>
      </w:pPr>
      <w:r w:rsidRPr="00A4651C">
        <w:rPr>
          <w:b/>
          <w:lang w:val="tr-TR"/>
        </w:rPr>
        <w:t xml:space="preserve">6. </w:t>
      </w:r>
      <w:r w:rsidR="00242196" w:rsidRPr="00A4651C">
        <w:rPr>
          <w:b/>
          <w:lang w:val="tr-TR"/>
        </w:rPr>
        <w:t>FARMASÖTİK ÖZELLİKLER</w:t>
      </w:r>
    </w:p>
    <w:p w:rsidR="00242196" w:rsidRPr="00A4651C" w:rsidRDefault="008D76D9" w:rsidP="0088131E">
      <w:pPr>
        <w:spacing w:line="276" w:lineRule="auto"/>
        <w:jc w:val="both"/>
        <w:rPr>
          <w:b/>
          <w:lang w:val="tr-TR"/>
        </w:rPr>
      </w:pPr>
      <w:r w:rsidRPr="00A4651C">
        <w:rPr>
          <w:b/>
          <w:bCs/>
          <w:lang w:val="tr-TR"/>
        </w:rPr>
        <w:t>6.1</w:t>
      </w:r>
      <w:r w:rsidR="00FE15CE" w:rsidRPr="00A4651C">
        <w:rPr>
          <w:b/>
          <w:bCs/>
          <w:lang w:val="tr-TR"/>
        </w:rPr>
        <w:t>.</w:t>
      </w:r>
      <w:r w:rsidRPr="00A4651C">
        <w:rPr>
          <w:b/>
          <w:bCs/>
          <w:lang w:val="tr-TR"/>
        </w:rPr>
        <w:t xml:space="preserve"> </w:t>
      </w:r>
      <w:r w:rsidR="00242196" w:rsidRPr="00A4651C">
        <w:rPr>
          <w:b/>
          <w:bCs/>
          <w:lang w:val="tr-TR"/>
        </w:rPr>
        <w:t>Yardımcı maddelerin listesi</w:t>
      </w:r>
    </w:p>
    <w:p w:rsidR="00861A0C" w:rsidRPr="00A4651C" w:rsidRDefault="00923911" w:rsidP="0088131E">
      <w:pPr>
        <w:tabs>
          <w:tab w:val="left" w:pos="6804"/>
        </w:tabs>
        <w:spacing w:line="276" w:lineRule="auto"/>
        <w:jc w:val="both"/>
        <w:rPr>
          <w:lang w:val="tr-TR"/>
        </w:rPr>
      </w:pPr>
      <w:r w:rsidRPr="00A4651C">
        <w:rPr>
          <w:lang w:val="tr-TR"/>
        </w:rPr>
        <w:t>Mi</w:t>
      </w:r>
      <w:r w:rsidR="003636C7" w:rsidRPr="00A4651C">
        <w:rPr>
          <w:lang w:val="tr-TR"/>
        </w:rPr>
        <w:t xml:space="preserve">krokristalin selüloz </w:t>
      </w:r>
      <w:r w:rsidRPr="00A4651C">
        <w:rPr>
          <w:lang w:val="tr-TR"/>
        </w:rPr>
        <w:t>PH 101</w:t>
      </w:r>
    </w:p>
    <w:p w:rsidR="00923911" w:rsidRPr="00A4651C" w:rsidRDefault="003636C7" w:rsidP="0088131E">
      <w:pPr>
        <w:tabs>
          <w:tab w:val="left" w:pos="6804"/>
        </w:tabs>
        <w:spacing w:line="276" w:lineRule="auto"/>
        <w:jc w:val="both"/>
        <w:rPr>
          <w:lang w:val="tr-TR"/>
        </w:rPr>
      </w:pPr>
      <w:r w:rsidRPr="00A4651C">
        <w:rPr>
          <w:lang w:val="tr-TR"/>
        </w:rPr>
        <w:t xml:space="preserve">Mikrokristalin selüloz </w:t>
      </w:r>
      <w:r w:rsidR="00923911" w:rsidRPr="00A4651C">
        <w:rPr>
          <w:lang w:val="tr-TR"/>
        </w:rPr>
        <w:t>PH 102</w:t>
      </w:r>
    </w:p>
    <w:p w:rsidR="00923911" w:rsidRPr="00A4651C" w:rsidRDefault="00923911" w:rsidP="0088131E">
      <w:pPr>
        <w:spacing w:line="276" w:lineRule="auto"/>
        <w:jc w:val="both"/>
        <w:rPr>
          <w:lang w:val="tr-TR"/>
        </w:rPr>
      </w:pPr>
      <w:r w:rsidRPr="00A4651C">
        <w:rPr>
          <w:lang w:val="tr-TR"/>
        </w:rPr>
        <w:t xml:space="preserve">Nişasta </w:t>
      </w:r>
    </w:p>
    <w:p w:rsidR="00923911" w:rsidRPr="00A4651C" w:rsidRDefault="00923911" w:rsidP="0088131E">
      <w:pPr>
        <w:spacing w:line="276" w:lineRule="auto"/>
        <w:jc w:val="both"/>
        <w:rPr>
          <w:lang w:val="tr-TR"/>
        </w:rPr>
      </w:pPr>
      <w:proofErr w:type="spellStart"/>
      <w:r w:rsidRPr="00A4651C">
        <w:rPr>
          <w:lang w:val="tr-TR"/>
        </w:rPr>
        <w:t>Pre</w:t>
      </w:r>
      <w:r w:rsidR="003636C7" w:rsidRPr="00A4651C">
        <w:rPr>
          <w:lang w:val="tr-TR"/>
        </w:rPr>
        <w:t>je</w:t>
      </w:r>
      <w:r w:rsidR="00C72030" w:rsidRPr="00A4651C">
        <w:rPr>
          <w:lang w:val="tr-TR"/>
        </w:rPr>
        <w:t>latin</w:t>
      </w:r>
      <w:r w:rsidR="003636C7" w:rsidRPr="00A4651C">
        <w:rPr>
          <w:lang w:val="tr-TR"/>
        </w:rPr>
        <w:t>ize</w:t>
      </w:r>
      <w:proofErr w:type="spellEnd"/>
      <w:r w:rsidR="003636C7" w:rsidRPr="00A4651C">
        <w:rPr>
          <w:lang w:val="tr-TR"/>
        </w:rPr>
        <w:t xml:space="preserve"> nişasta</w:t>
      </w:r>
      <w:r w:rsidRPr="00A4651C">
        <w:rPr>
          <w:lang w:val="tr-TR"/>
        </w:rPr>
        <w:t xml:space="preserve"> 1500 </w:t>
      </w:r>
    </w:p>
    <w:p w:rsidR="00923911" w:rsidRPr="00A4651C" w:rsidRDefault="00923911" w:rsidP="0088131E">
      <w:pPr>
        <w:spacing w:line="276" w:lineRule="auto"/>
        <w:jc w:val="both"/>
        <w:rPr>
          <w:lang w:val="tr-TR"/>
        </w:rPr>
      </w:pPr>
      <w:proofErr w:type="spellStart"/>
      <w:r w:rsidRPr="00A4651C">
        <w:rPr>
          <w:lang w:val="tr-TR"/>
        </w:rPr>
        <w:t>Polivin</w:t>
      </w:r>
      <w:r w:rsidR="003636C7" w:rsidRPr="00A4651C">
        <w:rPr>
          <w:lang w:val="tr-TR"/>
        </w:rPr>
        <w:t>il</w:t>
      </w:r>
      <w:proofErr w:type="spellEnd"/>
      <w:r w:rsidR="003636C7" w:rsidRPr="00A4651C">
        <w:rPr>
          <w:lang w:val="tr-TR"/>
        </w:rPr>
        <w:t xml:space="preserve"> </w:t>
      </w:r>
      <w:proofErr w:type="spellStart"/>
      <w:r w:rsidR="003636C7" w:rsidRPr="00A4651C">
        <w:rPr>
          <w:lang w:val="tr-TR"/>
        </w:rPr>
        <w:t>prolidon</w:t>
      </w:r>
      <w:proofErr w:type="spellEnd"/>
      <w:r w:rsidR="003636C7" w:rsidRPr="00A4651C">
        <w:rPr>
          <w:lang w:val="tr-TR"/>
        </w:rPr>
        <w:t xml:space="preserve"> </w:t>
      </w:r>
      <w:r w:rsidRPr="00A4651C">
        <w:rPr>
          <w:lang w:val="tr-TR"/>
        </w:rPr>
        <w:t xml:space="preserve">K25 </w:t>
      </w:r>
    </w:p>
    <w:p w:rsidR="00923911" w:rsidRPr="00A4651C" w:rsidRDefault="00923911" w:rsidP="0088131E">
      <w:pPr>
        <w:spacing w:line="276" w:lineRule="auto"/>
        <w:jc w:val="both"/>
        <w:rPr>
          <w:lang w:val="tr-TR"/>
        </w:rPr>
      </w:pPr>
      <w:r w:rsidRPr="00A4651C">
        <w:rPr>
          <w:lang w:val="tr-TR"/>
        </w:rPr>
        <w:t>Magne</w:t>
      </w:r>
      <w:r w:rsidR="003636C7" w:rsidRPr="00A4651C">
        <w:rPr>
          <w:lang w:val="tr-TR"/>
        </w:rPr>
        <w:t>zyum stearat</w:t>
      </w:r>
      <w:r w:rsidRPr="00A4651C">
        <w:rPr>
          <w:lang w:val="tr-TR"/>
        </w:rPr>
        <w:t xml:space="preserve"> </w:t>
      </w:r>
    </w:p>
    <w:p w:rsidR="00923911" w:rsidRPr="00A4651C" w:rsidRDefault="00923911" w:rsidP="0088131E">
      <w:pPr>
        <w:spacing w:line="276" w:lineRule="auto"/>
        <w:jc w:val="both"/>
        <w:rPr>
          <w:lang w:val="tr-TR"/>
        </w:rPr>
      </w:pPr>
    </w:p>
    <w:p w:rsidR="00923911" w:rsidRPr="00A4651C" w:rsidRDefault="00923911" w:rsidP="0088131E">
      <w:pPr>
        <w:spacing w:line="276" w:lineRule="auto"/>
        <w:jc w:val="both"/>
        <w:rPr>
          <w:lang w:val="tr-TR"/>
        </w:rPr>
      </w:pPr>
      <w:r w:rsidRPr="00A4651C">
        <w:rPr>
          <w:u w:val="single"/>
          <w:lang w:val="tr-TR"/>
        </w:rPr>
        <w:t>Film kaplama maddeleri</w:t>
      </w:r>
      <w:r w:rsidR="00A9014E" w:rsidRPr="00A4651C">
        <w:rPr>
          <w:lang w:val="tr-TR"/>
        </w:rPr>
        <w:t>: (</w:t>
      </w:r>
      <w:proofErr w:type="spellStart"/>
      <w:r w:rsidRPr="00A4651C">
        <w:rPr>
          <w:lang w:val="tr-TR"/>
        </w:rPr>
        <w:t>Opadry</w:t>
      </w:r>
      <w:proofErr w:type="spellEnd"/>
      <w:r w:rsidRPr="00A4651C">
        <w:rPr>
          <w:lang w:val="tr-TR"/>
        </w:rPr>
        <w:t xml:space="preserve"> OY-D-7233 </w:t>
      </w:r>
      <w:r w:rsidR="003636C7" w:rsidRPr="00A4651C">
        <w:rPr>
          <w:lang w:val="tr-TR"/>
        </w:rPr>
        <w:t>beyaz</w:t>
      </w:r>
      <w:r w:rsidR="00A9014E" w:rsidRPr="00A4651C">
        <w:rPr>
          <w:lang w:val="tr-TR"/>
        </w:rPr>
        <w:t>)</w:t>
      </w:r>
      <w:r w:rsidRPr="00A4651C">
        <w:rPr>
          <w:lang w:val="tr-TR"/>
        </w:rPr>
        <w:t xml:space="preserve"> </w:t>
      </w:r>
    </w:p>
    <w:p w:rsidR="00A9014E" w:rsidRPr="00A4651C" w:rsidRDefault="00A9014E" w:rsidP="0088131E">
      <w:pPr>
        <w:spacing w:line="276" w:lineRule="auto"/>
        <w:jc w:val="both"/>
      </w:pPr>
      <w:r w:rsidRPr="00A4651C">
        <w:t>Hipromelloz</w:t>
      </w:r>
    </w:p>
    <w:p w:rsidR="00A9014E" w:rsidRPr="00A4651C" w:rsidRDefault="00A9014E" w:rsidP="0088131E">
      <w:pPr>
        <w:spacing w:line="276" w:lineRule="auto"/>
        <w:jc w:val="both"/>
      </w:pPr>
      <w:r w:rsidRPr="00A4651C">
        <w:t>Titanyum dioksit</w:t>
      </w:r>
    </w:p>
    <w:p w:rsidR="00A9014E" w:rsidRPr="00A4651C" w:rsidRDefault="00A9014E" w:rsidP="0088131E">
      <w:pPr>
        <w:spacing w:line="276" w:lineRule="auto"/>
        <w:jc w:val="both"/>
      </w:pPr>
      <w:r w:rsidRPr="00A4651C">
        <w:t>Talk</w:t>
      </w:r>
    </w:p>
    <w:p w:rsidR="00A9014E" w:rsidRPr="00A4651C" w:rsidRDefault="00A9014E" w:rsidP="0088131E">
      <w:pPr>
        <w:spacing w:line="276" w:lineRule="auto"/>
        <w:jc w:val="both"/>
      </w:pPr>
      <w:r w:rsidRPr="00A4651C">
        <w:t>Polietilen glikol</w:t>
      </w:r>
    </w:p>
    <w:p w:rsidR="00A9014E" w:rsidRPr="00A4651C" w:rsidRDefault="00A9014E" w:rsidP="0088131E">
      <w:pPr>
        <w:spacing w:line="276" w:lineRule="auto"/>
        <w:jc w:val="both"/>
      </w:pPr>
      <w:r w:rsidRPr="00A4651C">
        <w:t>Sodyum lauril sülfat</w:t>
      </w:r>
    </w:p>
    <w:p w:rsidR="001A5835" w:rsidRPr="00A4651C" w:rsidRDefault="001A5835" w:rsidP="0088131E">
      <w:pPr>
        <w:spacing w:line="276" w:lineRule="auto"/>
        <w:jc w:val="both"/>
      </w:pPr>
    </w:p>
    <w:p w:rsidR="008D76D9" w:rsidRPr="00A4651C" w:rsidRDefault="00FE15CE" w:rsidP="0088131E">
      <w:pPr>
        <w:numPr>
          <w:ilvl w:val="1"/>
          <w:numId w:val="18"/>
        </w:numPr>
        <w:spacing w:line="276" w:lineRule="auto"/>
        <w:jc w:val="both"/>
        <w:rPr>
          <w:lang w:val="tr-TR"/>
        </w:rPr>
      </w:pPr>
      <w:r w:rsidRPr="00A4651C">
        <w:rPr>
          <w:b/>
          <w:bCs/>
          <w:lang w:val="tr-TR"/>
        </w:rPr>
        <w:t xml:space="preserve"> </w:t>
      </w:r>
      <w:r w:rsidR="008D76D9" w:rsidRPr="00A4651C">
        <w:rPr>
          <w:b/>
          <w:bCs/>
          <w:lang w:val="tr-TR"/>
        </w:rPr>
        <w:t>Geçimsizlikler</w:t>
      </w:r>
    </w:p>
    <w:p w:rsidR="00861A0C" w:rsidRPr="00A4651C" w:rsidRDefault="00861A0C" w:rsidP="0088131E">
      <w:pPr>
        <w:spacing w:line="276" w:lineRule="auto"/>
        <w:jc w:val="both"/>
        <w:rPr>
          <w:lang w:val="tr-TR"/>
        </w:rPr>
      </w:pPr>
      <w:r w:rsidRPr="00A4651C">
        <w:rPr>
          <w:lang w:val="tr-TR"/>
        </w:rPr>
        <w:t>Bildirilmemiştir.</w:t>
      </w:r>
    </w:p>
    <w:p w:rsidR="000A1868" w:rsidRPr="00A4651C" w:rsidRDefault="000A1868" w:rsidP="0088131E">
      <w:pPr>
        <w:spacing w:line="276" w:lineRule="auto"/>
        <w:jc w:val="both"/>
        <w:rPr>
          <w:b/>
          <w:bCs/>
          <w:lang w:val="tr-TR"/>
        </w:rPr>
      </w:pPr>
    </w:p>
    <w:p w:rsidR="00242196" w:rsidRPr="00A4651C" w:rsidRDefault="00242196" w:rsidP="0088131E">
      <w:pPr>
        <w:spacing w:line="276" w:lineRule="auto"/>
        <w:jc w:val="both"/>
        <w:rPr>
          <w:lang w:val="tr-TR"/>
        </w:rPr>
      </w:pPr>
      <w:r w:rsidRPr="00A4651C">
        <w:rPr>
          <w:b/>
          <w:bCs/>
          <w:lang w:val="tr-TR"/>
        </w:rPr>
        <w:t>6.3</w:t>
      </w:r>
      <w:r w:rsidR="00FE15CE" w:rsidRPr="00A4651C">
        <w:rPr>
          <w:b/>
          <w:bCs/>
          <w:lang w:val="tr-TR"/>
        </w:rPr>
        <w:t xml:space="preserve">. </w:t>
      </w:r>
      <w:r w:rsidRPr="00A4651C">
        <w:rPr>
          <w:b/>
          <w:bCs/>
          <w:lang w:val="tr-TR"/>
        </w:rPr>
        <w:t>Raf ömrü</w:t>
      </w:r>
    </w:p>
    <w:p w:rsidR="00242196" w:rsidRPr="00A4651C" w:rsidRDefault="00F347C6" w:rsidP="0088131E">
      <w:pPr>
        <w:spacing w:line="276" w:lineRule="auto"/>
        <w:jc w:val="both"/>
        <w:rPr>
          <w:lang w:val="tr-TR"/>
        </w:rPr>
      </w:pPr>
      <w:r w:rsidRPr="00A4651C">
        <w:rPr>
          <w:lang w:val="tr-TR"/>
        </w:rPr>
        <w:t>36</w:t>
      </w:r>
      <w:r w:rsidR="00167F51" w:rsidRPr="00A4651C">
        <w:rPr>
          <w:lang w:val="tr-TR"/>
        </w:rPr>
        <w:t xml:space="preserve"> ay</w:t>
      </w:r>
      <w:r w:rsidR="00A640E4" w:rsidRPr="00A4651C">
        <w:rPr>
          <w:lang w:val="tr-TR"/>
        </w:rPr>
        <w:t>.</w:t>
      </w:r>
    </w:p>
    <w:p w:rsidR="00290C08" w:rsidRPr="00A4651C" w:rsidRDefault="00290C08" w:rsidP="0088131E">
      <w:pPr>
        <w:spacing w:line="276" w:lineRule="auto"/>
        <w:jc w:val="both"/>
        <w:rPr>
          <w:lang w:val="tr-TR"/>
        </w:rPr>
      </w:pPr>
    </w:p>
    <w:p w:rsidR="00242196" w:rsidRPr="00A4651C" w:rsidRDefault="00242196" w:rsidP="0088131E">
      <w:pPr>
        <w:spacing w:line="276" w:lineRule="auto"/>
        <w:jc w:val="both"/>
        <w:rPr>
          <w:lang w:val="tr-TR"/>
        </w:rPr>
      </w:pPr>
      <w:r w:rsidRPr="00A4651C">
        <w:rPr>
          <w:b/>
          <w:bCs/>
          <w:lang w:val="tr-TR"/>
        </w:rPr>
        <w:t>6.4</w:t>
      </w:r>
      <w:r w:rsidR="00FE15CE" w:rsidRPr="00A4651C">
        <w:rPr>
          <w:b/>
          <w:bCs/>
          <w:lang w:val="tr-TR"/>
        </w:rPr>
        <w:t>.</w:t>
      </w:r>
      <w:r w:rsidRPr="00A4651C">
        <w:rPr>
          <w:b/>
          <w:bCs/>
          <w:lang w:val="tr-TR"/>
        </w:rPr>
        <w:t xml:space="preserve"> Saklamaya yönelik özel </w:t>
      </w:r>
      <w:r w:rsidR="00247D91" w:rsidRPr="00A4651C">
        <w:rPr>
          <w:b/>
          <w:bCs/>
          <w:lang w:val="tr-TR"/>
        </w:rPr>
        <w:t>tedbirler</w:t>
      </w:r>
    </w:p>
    <w:p w:rsidR="002A516D" w:rsidRPr="00A4651C" w:rsidRDefault="002A516D" w:rsidP="002A516D">
      <w:pPr>
        <w:spacing w:line="276" w:lineRule="auto"/>
        <w:jc w:val="both"/>
      </w:pPr>
      <w:r w:rsidRPr="00A4651C">
        <w:t>30°C’nin altındaki oda sıcaklığında saklayınız. Işıktan koruyunuz.</w:t>
      </w:r>
    </w:p>
    <w:p w:rsidR="00923911" w:rsidRPr="00A4651C" w:rsidRDefault="00923911" w:rsidP="0088131E">
      <w:pPr>
        <w:spacing w:line="276" w:lineRule="auto"/>
        <w:jc w:val="both"/>
        <w:rPr>
          <w:lang w:val="tr-TR"/>
        </w:rPr>
      </w:pPr>
    </w:p>
    <w:p w:rsidR="001A5835" w:rsidRPr="00A4651C" w:rsidRDefault="00242196" w:rsidP="0088131E">
      <w:pPr>
        <w:spacing w:line="276" w:lineRule="auto"/>
        <w:jc w:val="both"/>
        <w:rPr>
          <w:lang w:val="tr-TR"/>
        </w:rPr>
      </w:pPr>
      <w:r w:rsidRPr="00A4651C">
        <w:rPr>
          <w:b/>
          <w:bCs/>
          <w:lang w:val="tr-TR"/>
        </w:rPr>
        <w:t>6.5</w:t>
      </w:r>
      <w:r w:rsidR="00FE15CE" w:rsidRPr="00A4651C">
        <w:rPr>
          <w:b/>
          <w:bCs/>
          <w:lang w:val="tr-TR"/>
        </w:rPr>
        <w:t>.</w:t>
      </w:r>
      <w:r w:rsidRPr="00A4651C">
        <w:rPr>
          <w:b/>
          <w:bCs/>
          <w:lang w:val="tr-TR"/>
        </w:rPr>
        <w:t xml:space="preserve"> Ambalajın niteliği ve içeriği </w:t>
      </w:r>
    </w:p>
    <w:p w:rsidR="00923911" w:rsidRPr="00A4651C" w:rsidRDefault="00923911" w:rsidP="0088131E">
      <w:pPr>
        <w:spacing w:line="276" w:lineRule="auto"/>
        <w:jc w:val="both"/>
        <w:rPr>
          <w:lang w:val="tr-TR"/>
        </w:rPr>
      </w:pPr>
      <w:r w:rsidRPr="00A4651C">
        <w:rPr>
          <w:lang w:val="tr-TR"/>
        </w:rPr>
        <w:t xml:space="preserve">Bir yüzü şeffaf PVDC, diğer yüzü üzeri baskılı </w:t>
      </w:r>
      <w:proofErr w:type="spellStart"/>
      <w:r w:rsidRPr="00A4651C">
        <w:rPr>
          <w:lang w:val="tr-TR"/>
        </w:rPr>
        <w:t>aluminyum</w:t>
      </w:r>
      <w:proofErr w:type="spellEnd"/>
      <w:r w:rsidRPr="00A4651C">
        <w:rPr>
          <w:lang w:val="tr-TR"/>
        </w:rPr>
        <w:t xml:space="preserve"> folyo. </w:t>
      </w:r>
    </w:p>
    <w:p w:rsidR="008725B6" w:rsidRPr="00A4651C" w:rsidRDefault="00242196" w:rsidP="0088131E">
      <w:pPr>
        <w:spacing w:line="276" w:lineRule="auto"/>
        <w:jc w:val="both"/>
        <w:rPr>
          <w:lang w:val="tr-TR"/>
        </w:rPr>
      </w:pPr>
      <w:r w:rsidRPr="00A4651C">
        <w:rPr>
          <w:lang w:val="tr-TR"/>
        </w:rPr>
        <w:t xml:space="preserve">Her kutu </w:t>
      </w:r>
      <w:r w:rsidR="00923911" w:rsidRPr="00A4651C">
        <w:rPr>
          <w:lang w:val="tr-TR"/>
        </w:rPr>
        <w:t xml:space="preserve">10 veya 20 </w:t>
      </w:r>
      <w:r w:rsidR="00780C93" w:rsidRPr="00A4651C">
        <w:rPr>
          <w:lang w:val="tr-TR"/>
        </w:rPr>
        <w:t>film tablet</w:t>
      </w:r>
      <w:r w:rsidRPr="00A4651C">
        <w:rPr>
          <w:lang w:val="tr-TR"/>
        </w:rPr>
        <w:t xml:space="preserve"> içermektedir.</w:t>
      </w:r>
    </w:p>
    <w:p w:rsidR="008B4285" w:rsidRPr="00A4651C" w:rsidRDefault="008B4285" w:rsidP="0088131E">
      <w:pPr>
        <w:spacing w:line="276" w:lineRule="auto"/>
        <w:jc w:val="both"/>
        <w:rPr>
          <w:lang w:val="tr-TR"/>
        </w:rPr>
      </w:pPr>
    </w:p>
    <w:p w:rsidR="00242196" w:rsidRPr="00A4651C" w:rsidRDefault="00FE15CE" w:rsidP="00FE15CE">
      <w:pPr>
        <w:spacing w:line="276" w:lineRule="auto"/>
        <w:jc w:val="both"/>
        <w:rPr>
          <w:lang w:val="tr-TR"/>
        </w:rPr>
      </w:pPr>
      <w:r w:rsidRPr="00A4651C">
        <w:rPr>
          <w:b/>
          <w:bCs/>
          <w:lang w:val="tr-TR"/>
        </w:rPr>
        <w:t xml:space="preserve">6.6. </w:t>
      </w:r>
      <w:r w:rsidR="00242196" w:rsidRPr="00A4651C">
        <w:rPr>
          <w:b/>
          <w:bCs/>
          <w:lang w:val="tr-TR"/>
        </w:rPr>
        <w:t>Beşeri tıbbi üründen arta kalan maddelerin imhası ve diğer özel önlemler</w:t>
      </w:r>
    </w:p>
    <w:p w:rsidR="00923911" w:rsidRPr="00A4651C" w:rsidRDefault="00171A1D" w:rsidP="0088131E">
      <w:pPr>
        <w:spacing w:line="276" w:lineRule="auto"/>
        <w:jc w:val="both"/>
        <w:rPr>
          <w:lang w:val="tr-TR"/>
        </w:rPr>
      </w:pPr>
      <w:r w:rsidRPr="00A4651C">
        <w:rPr>
          <w:lang w:val="tr-TR"/>
        </w:rPr>
        <w:t xml:space="preserve">Kullanılmamış olan ürünler ya da atık materyaller “Tıbbi Atıkların Kontrolü Yönetmeliği” ve Ambalaj ve Ambalaj Atıklarının Kontrolü </w:t>
      </w:r>
      <w:proofErr w:type="spellStart"/>
      <w:r w:rsidRPr="00A4651C">
        <w:rPr>
          <w:lang w:val="tr-TR"/>
        </w:rPr>
        <w:t>Yönetmelik”lerine</w:t>
      </w:r>
      <w:proofErr w:type="spellEnd"/>
      <w:r w:rsidRPr="00A4651C">
        <w:rPr>
          <w:lang w:val="tr-TR"/>
        </w:rPr>
        <w:t xml:space="preserve"> uygun olarak imha edilmelidir. </w:t>
      </w:r>
    </w:p>
    <w:p w:rsidR="00032DD8" w:rsidRPr="00A4651C" w:rsidRDefault="00032DD8" w:rsidP="0088131E">
      <w:pPr>
        <w:spacing w:line="276" w:lineRule="auto"/>
        <w:jc w:val="both"/>
        <w:rPr>
          <w:lang w:val="tr-TR"/>
        </w:rPr>
      </w:pPr>
    </w:p>
    <w:p w:rsidR="00061503" w:rsidRPr="00A4651C" w:rsidRDefault="00FE15CE" w:rsidP="00FE15CE">
      <w:pPr>
        <w:spacing w:line="276" w:lineRule="auto"/>
        <w:jc w:val="both"/>
        <w:rPr>
          <w:lang w:val="tr-TR"/>
        </w:rPr>
      </w:pPr>
      <w:r w:rsidRPr="00A4651C">
        <w:rPr>
          <w:b/>
          <w:lang w:val="tr-TR"/>
        </w:rPr>
        <w:t xml:space="preserve">7. </w:t>
      </w:r>
      <w:r w:rsidR="00242196" w:rsidRPr="00A4651C">
        <w:rPr>
          <w:b/>
          <w:lang w:val="tr-TR"/>
        </w:rPr>
        <w:t xml:space="preserve">RUHSAT SAHİBİ </w:t>
      </w:r>
    </w:p>
    <w:p w:rsidR="00242196" w:rsidRPr="00A4651C" w:rsidRDefault="00ED4A96" w:rsidP="0088131E">
      <w:pPr>
        <w:spacing w:line="276" w:lineRule="auto"/>
        <w:jc w:val="both"/>
        <w:rPr>
          <w:lang w:val="tr-TR"/>
        </w:rPr>
      </w:pPr>
      <w:r w:rsidRPr="00A4651C">
        <w:rPr>
          <w:lang w:val="tr-TR"/>
        </w:rPr>
        <w:t>DEVA HOLDİNG A.Ş.</w:t>
      </w:r>
    </w:p>
    <w:p w:rsidR="001D5C55" w:rsidRPr="00A4651C" w:rsidRDefault="001D5C55" w:rsidP="0088131E">
      <w:pPr>
        <w:tabs>
          <w:tab w:val="left" w:pos="5040"/>
        </w:tabs>
        <w:spacing w:line="276" w:lineRule="auto"/>
        <w:jc w:val="both"/>
        <w:rPr>
          <w:lang w:val="tr-TR"/>
        </w:rPr>
      </w:pPr>
      <w:r w:rsidRPr="00A4651C">
        <w:rPr>
          <w:lang w:val="tr-TR"/>
        </w:rPr>
        <w:t xml:space="preserve">Halkalı Merkez </w:t>
      </w:r>
      <w:proofErr w:type="spellStart"/>
      <w:r w:rsidRPr="00A4651C">
        <w:rPr>
          <w:lang w:val="tr-TR"/>
        </w:rPr>
        <w:t>Mah.Basın</w:t>
      </w:r>
      <w:proofErr w:type="spellEnd"/>
      <w:r w:rsidRPr="00A4651C">
        <w:rPr>
          <w:lang w:val="tr-TR"/>
        </w:rPr>
        <w:t xml:space="preserve"> Ekspres Cad.</w:t>
      </w:r>
    </w:p>
    <w:p w:rsidR="001D5C55" w:rsidRPr="00A4651C" w:rsidRDefault="00F347C6" w:rsidP="0088131E">
      <w:pPr>
        <w:tabs>
          <w:tab w:val="left" w:pos="5040"/>
        </w:tabs>
        <w:spacing w:line="276" w:lineRule="auto"/>
        <w:jc w:val="both"/>
        <w:rPr>
          <w:lang w:val="tr-TR"/>
        </w:rPr>
      </w:pPr>
      <w:r w:rsidRPr="00A4651C">
        <w:rPr>
          <w:lang w:val="tr-TR"/>
        </w:rPr>
        <w:t xml:space="preserve">No: </w:t>
      </w:r>
      <w:proofErr w:type="gramStart"/>
      <w:r w:rsidRPr="00A4651C">
        <w:rPr>
          <w:lang w:val="tr-TR"/>
        </w:rPr>
        <w:t>1  34303</w:t>
      </w:r>
      <w:proofErr w:type="gramEnd"/>
      <w:r w:rsidRPr="00A4651C">
        <w:rPr>
          <w:lang w:val="tr-TR"/>
        </w:rPr>
        <w:t xml:space="preserve"> Küçükçekmece /İSTANBUL</w:t>
      </w:r>
    </w:p>
    <w:p w:rsidR="001D5C55" w:rsidRPr="00A4651C" w:rsidRDefault="001D5C55" w:rsidP="0088131E">
      <w:pPr>
        <w:spacing w:line="276" w:lineRule="auto"/>
        <w:jc w:val="both"/>
        <w:rPr>
          <w:lang w:val="tr-TR"/>
        </w:rPr>
      </w:pPr>
      <w:r w:rsidRPr="00A4651C">
        <w:rPr>
          <w:lang w:val="tr-TR"/>
        </w:rPr>
        <w:t xml:space="preserve">Tel: 0 212 692 92 </w:t>
      </w:r>
      <w:proofErr w:type="spellStart"/>
      <w:r w:rsidRPr="00A4651C">
        <w:rPr>
          <w:lang w:val="tr-TR"/>
        </w:rPr>
        <w:t>92</w:t>
      </w:r>
      <w:proofErr w:type="spellEnd"/>
    </w:p>
    <w:p w:rsidR="001D5C55" w:rsidRPr="00A4651C" w:rsidRDefault="001D5C55" w:rsidP="0088131E">
      <w:pPr>
        <w:spacing w:line="276" w:lineRule="auto"/>
        <w:jc w:val="both"/>
        <w:rPr>
          <w:lang w:val="tr-TR"/>
        </w:rPr>
      </w:pPr>
      <w:proofErr w:type="spellStart"/>
      <w:r w:rsidRPr="00A4651C">
        <w:rPr>
          <w:lang w:val="tr-TR"/>
        </w:rPr>
        <w:t>Fax</w:t>
      </w:r>
      <w:proofErr w:type="spellEnd"/>
      <w:r w:rsidRPr="00A4651C">
        <w:rPr>
          <w:lang w:val="tr-TR"/>
        </w:rPr>
        <w:t>: 0 212 697 00 24</w:t>
      </w:r>
    </w:p>
    <w:p w:rsidR="00AD39B2" w:rsidRPr="00A4651C" w:rsidRDefault="00AD39B2" w:rsidP="0088131E">
      <w:pPr>
        <w:spacing w:line="276" w:lineRule="auto"/>
        <w:jc w:val="both"/>
        <w:rPr>
          <w:lang w:val="tr-TR"/>
        </w:rPr>
      </w:pPr>
    </w:p>
    <w:p w:rsidR="00242196" w:rsidRPr="00A4651C" w:rsidRDefault="00FE15CE" w:rsidP="00FE15CE">
      <w:pPr>
        <w:spacing w:line="276" w:lineRule="auto"/>
        <w:jc w:val="both"/>
        <w:rPr>
          <w:b/>
          <w:lang w:val="tr-TR"/>
        </w:rPr>
      </w:pPr>
      <w:r w:rsidRPr="00A4651C">
        <w:rPr>
          <w:b/>
          <w:lang w:val="tr-TR"/>
        </w:rPr>
        <w:t xml:space="preserve">8. </w:t>
      </w:r>
      <w:r w:rsidR="00242196" w:rsidRPr="00A4651C">
        <w:rPr>
          <w:b/>
          <w:lang w:val="tr-TR"/>
        </w:rPr>
        <w:t>RUHSAT NUMARASI</w:t>
      </w:r>
    </w:p>
    <w:p w:rsidR="00861A0C" w:rsidRPr="00A4651C" w:rsidRDefault="005D72CB" w:rsidP="0088131E">
      <w:pPr>
        <w:spacing w:line="276" w:lineRule="auto"/>
        <w:jc w:val="both"/>
        <w:rPr>
          <w:lang w:val="tr-TR"/>
        </w:rPr>
      </w:pPr>
      <w:r w:rsidRPr="00A4651C">
        <w:rPr>
          <w:lang w:val="tr-TR"/>
        </w:rPr>
        <w:t>1</w:t>
      </w:r>
      <w:r w:rsidR="00F347C6" w:rsidRPr="00A4651C">
        <w:rPr>
          <w:lang w:val="tr-TR"/>
        </w:rPr>
        <w:t>81/</w:t>
      </w:r>
      <w:r w:rsidR="00923911" w:rsidRPr="00A4651C">
        <w:rPr>
          <w:lang w:val="tr-TR"/>
        </w:rPr>
        <w:t>25</w:t>
      </w:r>
    </w:p>
    <w:p w:rsidR="00290C08" w:rsidRPr="00A4651C" w:rsidRDefault="00290C08" w:rsidP="0088131E">
      <w:pPr>
        <w:spacing w:line="276" w:lineRule="auto"/>
        <w:jc w:val="both"/>
        <w:rPr>
          <w:b/>
          <w:lang w:val="tr-TR"/>
        </w:rPr>
      </w:pPr>
    </w:p>
    <w:p w:rsidR="00B57439" w:rsidRPr="00A4651C" w:rsidRDefault="00FE15CE" w:rsidP="00FE15CE">
      <w:pPr>
        <w:spacing w:line="276" w:lineRule="auto"/>
        <w:jc w:val="both"/>
        <w:rPr>
          <w:b/>
          <w:lang w:val="tr-TR"/>
        </w:rPr>
      </w:pPr>
      <w:r w:rsidRPr="00A4651C">
        <w:rPr>
          <w:b/>
          <w:lang w:val="tr-TR"/>
        </w:rPr>
        <w:t xml:space="preserve">9. </w:t>
      </w:r>
      <w:r w:rsidR="00C26C0C" w:rsidRPr="00A4651C">
        <w:rPr>
          <w:b/>
          <w:lang w:val="tr-TR"/>
        </w:rPr>
        <w:t>İLK RUHSAT TARİHİ/ RUHSAT YENİLEME TARİHİ</w:t>
      </w:r>
    </w:p>
    <w:p w:rsidR="00C26C0C" w:rsidRPr="00A4651C" w:rsidRDefault="00C26C0C" w:rsidP="0088131E">
      <w:pPr>
        <w:spacing w:line="276" w:lineRule="auto"/>
        <w:jc w:val="both"/>
        <w:rPr>
          <w:lang w:val="tr-TR"/>
        </w:rPr>
      </w:pPr>
      <w:r w:rsidRPr="00A4651C">
        <w:rPr>
          <w:lang w:val="tr-TR"/>
        </w:rPr>
        <w:t>İlk ruhsat tarihi:</w:t>
      </w:r>
      <w:r w:rsidR="00923911" w:rsidRPr="00A4651C">
        <w:rPr>
          <w:lang w:val="tr-TR"/>
        </w:rPr>
        <w:t xml:space="preserve"> 21.01.1997</w:t>
      </w:r>
    </w:p>
    <w:p w:rsidR="00C26C0C" w:rsidRPr="00A4651C" w:rsidRDefault="00C26C0C" w:rsidP="0088131E">
      <w:pPr>
        <w:spacing w:line="276" w:lineRule="auto"/>
        <w:jc w:val="both"/>
        <w:rPr>
          <w:lang w:val="tr-TR"/>
        </w:rPr>
      </w:pPr>
      <w:r w:rsidRPr="00A4651C">
        <w:rPr>
          <w:lang w:val="tr-TR"/>
        </w:rPr>
        <w:t>Ruhsat yenileme tarihi:</w:t>
      </w:r>
      <w:r w:rsidR="00923911" w:rsidRPr="00A4651C">
        <w:rPr>
          <w:lang w:val="tr-TR"/>
        </w:rPr>
        <w:t xml:space="preserve"> </w:t>
      </w:r>
      <w:r w:rsidR="00466292" w:rsidRPr="00A4651C">
        <w:rPr>
          <w:lang w:val="tr-TR"/>
        </w:rPr>
        <w:t>20.03.2013</w:t>
      </w:r>
    </w:p>
    <w:p w:rsidR="00C26C0C" w:rsidRPr="00A4651C" w:rsidRDefault="00C26C0C" w:rsidP="0088131E">
      <w:pPr>
        <w:spacing w:line="276" w:lineRule="auto"/>
        <w:jc w:val="both"/>
        <w:rPr>
          <w:b/>
          <w:lang w:val="tr-TR"/>
        </w:rPr>
      </w:pPr>
    </w:p>
    <w:p w:rsidR="00E35BF7" w:rsidRDefault="00FE15CE" w:rsidP="00FE15CE">
      <w:pPr>
        <w:spacing w:line="276" w:lineRule="auto"/>
        <w:jc w:val="both"/>
        <w:rPr>
          <w:b/>
          <w:lang w:val="tr-TR"/>
        </w:rPr>
      </w:pPr>
      <w:r w:rsidRPr="00A4651C">
        <w:rPr>
          <w:b/>
          <w:lang w:val="tr-TR"/>
        </w:rPr>
        <w:t xml:space="preserve">10. </w:t>
      </w:r>
      <w:r w:rsidR="00242196" w:rsidRPr="00A4651C">
        <w:rPr>
          <w:b/>
          <w:lang w:val="tr-TR"/>
        </w:rPr>
        <w:t xml:space="preserve">KÜB’ÜN YENİLENME TARİHİ </w:t>
      </w:r>
    </w:p>
    <w:p w:rsidR="00863BE9" w:rsidRPr="00863BE9" w:rsidRDefault="00863BE9" w:rsidP="00FE15CE">
      <w:pPr>
        <w:spacing w:line="276" w:lineRule="auto"/>
        <w:jc w:val="both"/>
        <w:rPr>
          <w:lang w:val="tr-TR"/>
        </w:rPr>
      </w:pPr>
      <w:r w:rsidRPr="00863BE9">
        <w:rPr>
          <w:lang w:val="tr-TR"/>
        </w:rPr>
        <w:t>03.02.2014</w:t>
      </w:r>
    </w:p>
    <w:sectPr w:rsidR="00863BE9" w:rsidRPr="00863BE9" w:rsidSect="0069079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01" w:rsidRDefault="00070801">
      <w:r>
        <w:separator/>
      </w:r>
    </w:p>
  </w:endnote>
  <w:endnote w:type="continuationSeparator" w:id="0">
    <w:p w:rsidR="00070801" w:rsidRDefault="00070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9844"/>
      <w:docPartObj>
        <w:docPartGallery w:val="Page Numbers (Bottom of Page)"/>
        <w:docPartUnique/>
      </w:docPartObj>
    </w:sdtPr>
    <w:sdtContent>
      <w:sdt>
        <w:sdtPr>
          <w:id w:val="90129845"/>
          <w:docPartObj>
            <w:docPartGallery w:val="Page Numbers (Top of Page)"/>
            <w:docPartUnique/>
          </w:docPartObj>
        </w:sdtPr>
        <w:sdtContent>
          <w:p w:rsidR="00070801" w:rsidRDefault="00F61750" w:rsidP="00B40AF1">
            <w:pPr>
              <w:pStyle w:val="Altbilgi"/>
              <w:jc w:val="right"/>
            </w:pPr>
            <w:fldSimple w:instr="PAGE">
              <w:r w:rsidR="00863BE9">
                <w:rPr>
                  <w:noProof/>
                </w:rPr>
                <w:t>16</w:t>
              </w:r>
            </w:fldSimple>
            <w:r w:rsidR="00070801" w:rsidRPr="00B40AF1">
              <w:t xml:space="preserve"> / </w:t>
            </w:r>
            <w:fldSimple w:instr="NUMPAGES">
              <w:r w:rsidR="00863BE9">
                <w:rPr>
                  <w:noProof/>
                </w:rPr>
                <w:t>16</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01" w:rsidRDefault="00070801">
      <w:r>
        <w:separator/>
      </w:r>
    </w:p>
  </w:footnote>
  <w:footnote w:type="continuationSeparator" w:id="0">
    <w:p w:rsidR="00070801" w:rsidRDefault="00070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B5E"/>
    <w:multiLevelType w:val="hybridMultilevel"/>
    <w:tmpl w:val="3B6C1678"/>
    <w:lvl w:ilvl="0" w:tplc="26D2D004">
      <w:start w:val="1"/>
      <w:numFmt w:val="bullet"/>
      <w:lvlText w:val=""/>
      <w:lvlJc w:val="left"/>
      <w:pPr>
        <w:tabs>
          <w:tab w:val="num" w:pos="1785"/>
        </w:tabs>
        <w:ind w:left="1785" w:hanging="720"/>
      </w:pPr>
      <w:rPr>
        <w:rFonts w:ascii="Symbol" w:eastAsia="Times New Roman" w:hAnsi="Symbol" w:cs="Times New Roman" w:hint="default"/>
        <w:b/>
        <w:color w:val="auto"/>
        <w:sz w:val="24"/>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13B77BE6"/>
    <w:multiLevelType w:val="hybridMultilevel"/>
    <w:tmpl w:val="23CA3E9E"/>
    <w:lvl w:ilvl="0" w:tplc="97D420E8">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1B361A15"/>
    <w:multiLevelType w:val="hybridMultilevel"/>
    <w:tmpl w:val="8032A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BE124C"/>
    <w:multiLevelType w:val="hybridMultilevel"/>
    <w:tmpl w:val="88441606"/>
    <w:lvl w:ilvl="0" w:tplc="5FF4A96A">
      <w:start w:val="1"/>
      <w:numFmt w:val="decimal"/>
      <w:lvlText w:val="%1."/>
      <w:lvlJc w:val="left"/>
      <w:pPr>
        <w:tabs>
          <w:tab w:val="num" w:pos="720"/>
        </w:tabs>
        <w:ind w:left="720" w:hanging="360"/>
      </w:pPr>
      <w:rPr>
        <w:rFonts w:hint="default"/>
        <w:b/>
        <w:color w:val="auto"/>
      </w:rPr>
    </w:lvl>
    <w:lvl w:ilvl="1" w:tplc="F350F12C">
      <w:numFmt w:val="none"/>
      <w:lvlText w:val=""/>
      <w:lvlJc w:val="left"/>
      <w:pPr>
        <w:tabs>
          <w:tab w:val="num" w:pos="360"/>
        </w:tabs>
      </w:pPr>
    </w:lvl>
    <w:lvl w:ilvl="2" w:tplc="C1E61E26">
      <w:numFmt w:val="none"/>
      <w:lvlText w:val=""/>
      <w:lvlJc w:val="left"/>
      <w:pPr>
        <w:tabs>
          <w:tab w:val="num" w:pos="360"/>
        </w:tabs>
      </w:pPr>
    </w:lvl>
    <w:lvl w:ilvl="3" w:tplc="FEBC0C50">
      <w:numFmt w:val="none"/>
      <w:lvlText w:val=""/>
      <w:lvlJc w:val="left"/>
      <w:pPr>
        <w:tabs>
          <w:tab w:val="num" w:pos="360"/>
        </w:tabs>
      </w:pPr>
    </w:lvl>
    <w:lvl w:ilvl="4" w:tplc="DD5EFCCA">
      <w:numFmt w:val="none"/>
      <w:lvlText w:val=""/>
      <w:lvlJc w:val="left"/>
      <w:pPr>
        <w:tabs>
          <w:tab w:val="num" w:pos="360"/>
        </w:tabs>
      </w:pPr>
    </w:lvl>
    <w:lvl w:ilvl="5" w:tplc="9324608E">
      <w:numFmt w:val="none"/>
      <w:lvlText w:val=""/>
      <w:lvlJc w:val="left"/>
      <w:pPr>
        <w:tabs>
          <w:tab w:val="num" w:pos="360"/>
        </w:tabs>
      </w:pPr>
    </w:lvl>
    <w:lvl w:ilvl="6" w:tplc="B1E67CB0">
      <w:numFmt w:val="none"/>
      <w:lvlText w:val=""/>
      <w:lvlJc w:val="left"/>
      <w:pPr>
        <w:tabs>
          <w:tab w:val="num" w:pos="360"/>
        </w:tabs>
      </w:pPr>
    </w:lvl>
    <w:lvl w:ilvl="7" w:tplc="E01C3B62">
      <w:numFmt w:val="none"/>
      <w:lvlText w:val=""/>
      <w:lvlJc w:val="left"/>
      <w:pPr>
        <w:tabs>
          <w:tab w:val="num" w:pos="360"/>
        </w:tabs>
      </w:pPr>
    </w:lvl>
    <w:lvl w:ilvl="8" w:tplc="70C0DF08">
      <w:numFmt w:val="none"/>
      <w:lvlText w:val=""/>
      <w:lvlJc w:val="left"/>
      <w:pPr>
        <w:tabs>
          <w:tab w:val="num" w:pos="360"/>
        </w:tabs>
      </w:pPr>
    </w:lvl>
  </w:abstractNum>
  <w:abstractNum w:abstractNumId="5">
    <w:nsid w:val="3529238C"/>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352A4719"/>
    <w:multiLevelType w:val="hybridMultilevel"/>
    <w:tmpl w:val="A8DEE924"/>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826B09"/>
    <w:multiLevelType w:val="multilevel"/>
    <w:tmpl w:val="C3BC8A36"/>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nsid w:val="3FFD0944"/>
    <w:multiLevelType w:val="hybridMultilevel"/>
    <w:tmpl w:val="0F28DA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2602673"/>
    <w:multiLevelType w:val="multilevel"/>
    <w:tmpl w:val="8D243CE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3F435AC"/>
    <w:multiLevelType w:val="multilevel"/>
    <w:tmpl w:val="1E2CD1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4CE45F6"/>
    <w:multiLevelType w:val="multilevel"/>
    <w:tmpl w:val="2D40574A"/>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5DC75A9C"/>
    <w:multiLevelType w:val="hybridMultilevel"/>
    <w:tmpl w:val="5E789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B02687"/>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5E01328"/>
    <w:multiLevelType w:val="multilevel"/>
    <w:tmpl w:val="91608EE0"/>
    <w:lvl w:ilvl="0">
      <w:start w:val="6"/>
      <w:numFmt w:val="decimal"/>
      <w:lvlText w:val="%1."/>
      <w:lvlJc w:val="left"/>
      <w:pPr>
        <w:ind w:left="720" w:hanging="360"/>
      </w:pPr>
      <w:rPr>
        <w:rFonts w:hint="default"/>
        <w:b/>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F393204"/>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70357470"/>
    <w:multiLevelType w:val="multilevel"/>
    <w:tmpl w:val="9D66CE0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720"/>
        </w:tabs>
        <w:ind w:left="720" w:hanging="36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646C59"/>
    <w:multiLevelType w:val="hybridMultilevel"/>
    <w:tmpl w:val="333CC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672196"/>
    <w:multiLevelType w:val="hybridMultilevel"/>
    <w:tmpl w:val="D4BE1D5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A11C7F"/>
    <w:multiLevelType w:val="multilevel"/>
    <w:tmpl w:val="9D66CE0A"/>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720"/>
        </w:tabs>
        <w:ind w:left="720" w:hanging="36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4"/>
  </w:num>
  <w:num w:numId="3">
    <w:abstractNumId w:val="0"/>
  </w:num>
  <w:num w:numId="4">
    <w:abstractNumId w:val="2"/>
  </w:num>
  <w:num w:numId="5">
    <w:abstractNumId w:val="7"/>
  </w:num>
  <w:num w:numId="6">
    <w:abstractNumId w:val="13"/>
  </w:num>
  <w:num w:numId="7">
    <w:abstractNumId w:val="15"/>
  </w:num>
  <w:num w:numId="8">
    <w:abstractNumId w:val="5"/>
  </w:num>
  <w:num w:numId="9">
    <w:abstractNumId w:val="11"/>
  </w:num>
  <w:num w:numId="10">
    <w:abstractNumId w:val="10"/>
  </w:num>
  <w:num w:numId="11">
    <w:abstractNumId w:val="8"/>
  </w:num>
  <w:num w:numId="12">
    <w:abstractNumId w:val="16"/>
  </w:num>
  <w:num w:numId="13">
    <w:abstractNumId w:val="19"/>
  </w:num>
  <w:num w:numId="14">
    <w:abstractNumId w:val="14"/>
  </w:num>
  <w:num w:numId="15">
    <w:abstractNumId w:val="17"/>
  </w:num>
  <w:num w:numId="16">
    <w:abstractNumId w:val="12"/>
  </w:num>
  <w:num w:numId="17">
    <w:abstractNumId w:val="18"/>
  </w:num>
  <w:num w:numId="18">
    <w:abstractNumId w:val="9"/>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30"/>
  <w:drawingGridVerticalSpacing w:val="299"/>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2F606F"/>
    <w:rsid w:val="000027E0"/>
    <w:rsid w:val="0000442E"/>
    <w:rsid w:val="000120BA"/>
    <w:rsid w:val="0003047E"/>
    <w:rsid w:val="00032DD8"/>
    <w:rsid w:val="00034370"/>
    <w:rsid w:val="00043E33"/>
    <w:rsid w:val="00057713"/>
    <w:rsid w:val="00061503"/>
    <w:rsid w:val="00070801"/>
    <w:rsid w:val="00077B55"/>
    <w:rsid w:val="00077D7D"/>
    <w:rsid w:val="00086BD9"/>
    <w:rsid w:val="000A1868"/>
    <w:rsid w:val="000B23DF"/>
    <w:rsid w:val="000C05C4"/>
    <w:rsid w:val="000C5A9C"/>
    <w:rsid w:val="000D371C"/>
    <w:rsid w:val="000D42C1"/>
    <w:rsid w:val="000E65E1"/>
    <w:rsid w:val="000E7293"/>
    <w:rsid w:val="000E78E9"/>
    <w:rsid w:val="000F245A"/>
    <w:rsid w:val="000F5C02"/>
    <w:rsid w:val="0010006F"/>
    <w:rsid w:val="001013D4"/>
    <w:rsid w:val="0010282F"/>
    <w:rsid w:val="001115B6"/>
    <w:rsid w:val="00115542"/>
    <w:rsid w:val="0013668D"/>
    <w:rsid w:val="00152D45"/>
    <w:rsid w:val="001530B3"/>
    <w:rsid w:val="00160CCA"/>
    <w:rsid w:val="00160D4E"/>
    <w:rsid w:val="00161464"/>
    <w:rsid w:val="00162A22"/>
    <w:rsid w:val="00164DF1"/>
    <w:rsid w:val="00165EA8"/>
    <w:rsid w:val="00167F51"/>
    <w:rsid w:val="001713E4"/>
    <w:rsid w:val="00171A1D"/>
    <w:rsid w:val="001753F1"/>
    <w:rsid w:val="00175B72"/>
    <w:rsid w:val="00182658"/>
    <w:rsid w:val="0018600E"/>
    <w:rsid w:val="00187F04"/>
    <w:rsid w:val="00190524"/>
    <w:rsid w:val="00191F03"/>
    <w:rsid w:val="001924FF"/>
    <w:rsid w:val="001A4588"/>
    <w:rsid w:val="001A5835"/>
    <w:rsid w:val="001B66F1"/>
    <w:rsid w:val="001C14A3"/>
    <w:rsid w:val="001C1936"/>
    <w:rsid w:val="001C2CEC"/>
    <w:rsid w:val="001D5C55"/>
    <w:rsid w:val="001D6ADE"/>
    <w:rsid w:val="001E42D2"/>
    <w:rsid w:val="001F1E5D"/>
    <w:rsid w:val="00204CB0"/>
    <w:rsid w:val="002061F6"/>
    <w:rsid w:val="00224C4F"/>
    <w:rsid w:val="00231BD2"/>
    <w:rsid w:val="00237555"/>
    <w:rsid w:val="00242196"/>
    <w:rsid w:val="00243BD8"/>
    <w:rsid w:val="00244EE3"/>
    <w:rsid w:val="00247D91"/>
    <w:rsid w:val="00253F3D"/>
    <w:rsid w:val="002729BF"/>
    <w:rsid w:val="002804CE"/>
    <w:rsid w:val="002810AA"/>
    <w:rsid w:val="00281CC0"/>
    <w:rsid w:val="00290C08"/>
    <w:rsid w:val="00290F9A"/>
    <w:rsid w:val="00293002"/>
    <w:rsid w:val="00294C59"/>
    <w:rsid w:val="002A165E"/>
    <w:rsid w:val="002A516D"/>
    <w:rsid w:val="002A6841"/>
    <w:rsid w:val="002A7D1B"/>
    <w:rsid w:val="002B05A5"/>
    <w:rsid w:val="002B61DF"/>
    <w:rsid w:val="002B6C2A"/>
    <w:rsid w:val="002C11C4"/>
    <w:rsid w:val="002C7598"/>
    <w:rsid w:val="002D0DBD"/>
    <w:rsid w:val="002D2C69"/>
    <w:rsid w:val="002D4228"/>
    <w:rsid w:val="002D63A1"/>
    <w:rsid w:val="002E0C93"/>
    <w:rsid w:val="002F606F"/>
    <w:rsid w:val="00301578"/>
    <w:rsid w:val="003015DB"/>
    <w:rsid w:val="00305B10"/>
    <w:rsid w:val="00314993"/>
    <w:rsid w:val="00315BFD"/>
    <w:rsid w:val="00323440"/>
    <w:rsid w:val="003247BD"/>
    <w:rsid w:val="00326FC3"/>
    <w:rsid w:val="003463A8"/>
    <w:rsid w:val="00355AF9"/>
    <w:rsid w:val="003636C7"/>
    <w:rsid w:val="00365CCB"/>
    <w:rsid w:val="003826E9"/>
    <w:rsid w:val="003866D1"/>
    <w:rsid w:val="00390289"/>
    <w:rsid w:val="003935DB"/>
    <w:rsid w:val="00393649"/>
    <w:rsid w:val="003A2911"/>
    <w:rsid w:val="003B5D8F"/>
    <w:rsid w:val="003C124B"/>
    <w:rsid w:val="003C5EC5"/>
    <w:rsid w:val="003C6826"/>
    <w:rsid w:val="003C7766"/>
    <w:rsid w:val="003D1016"/>
    <w:rsid w:val="003D4870"/>
    <w:rsid w:val="003E2678"/>
    <w:rsid w:val="003F0098"/>
    <w:rsid w:val="003F7457"/>
    <w:rsid w:val="00421533"/>
    <w:rsid w:val="00421B1C"/>
    <w:rsid w:val="00431549"/>
    <w:rsid w:val="004351C5"/>
    <w:rsid w:val="00450161"/>
    <w:rsid w:val="00450FA5"/>
    <w:rsid w:val="0045124B"/>
    <w:rsid w:val="00451344"/>
    <w:rsid w:val="00451543"/>
    <w:rsid w:val="00452F05"/>
    <w:rsid w:val="00466292"/>
    <w:rsid w:val="00472EB3"/>
    <w:rsid w:val="00474AAA"/>
    <w:rsid w:val="00484846"/>
    <w:rsid w:val="004A597F"/>
    <w:rsid w:val="004A6C0C"/>
    <w:rsid w:val="004A7E1D"/>
    <w:rsid w:val="004B7A60"/>
    <w:rsid w:val="004C21CB"/>
    <w:rsid w:val="004E0082"/>
    <w:rsid w:val="004E7AF6"/>
    <w:rsid w:val="004F00F3"/>
    <w:rsid w:val="004F5426"/>
    <w:rsid w:val="004F6CB4"/>
    <w:rsid w:val="004F7EC0"/>
    <w:rsid w:val="005007C9"/>
    <w:rsid w:val="00506E12"/>
    <w:rsid w:val="00511D8D"/>
    <w:rsid w:val="005126D2"/>
    <w:rsid w:val="005145CF"/>
    <w:rsid w:val="00526E23"/>
    <w:rsid w:val="005344FD"/>
    <w:rsid w:val="0053606F"/>
    <w:rsid w:val="005442C0"/>
    <w:rsid w:val="00561179"/>
    <w:rsid w:val="00571CBB"/>
    <w:rsid w:val="00575328"/>
    <w:rsid w:val="00580B3E"/>
    <w:rsid w:val="005946F7"/>
    <w:rsid w:val="00597946"/>
    <w:rsid w:val="005A3788"/>
    <w:rsid w:val="005A55AE"/>
    <w:rsid w:val="005B657E"/>
    <w:rsid w:val="005C4131"/>
    <w:rsid w:val="005D3A68"/>
    <w:rsid w:val="005D414F"/>
    <w:rsid w:val="005D72CB"/>
    <w:rsid w:val="005E550A"/>
    <w:rsid w:val="005E77F5"/>
    <w:rsid w:val="005F0F81"/>
    <w:rsid w:val="005F3988"/>
    <w:rsid w:val="005F6CC4"/>
    <w:rsid w:val="005F79D3"/>
    <w:rsid w:val="00600B99"/>
    <w:rsid w:val="0062173E"/>
    <w:rsid w:val="00622608"/>
    <w:rsid w:val="00622D4B"/>
    <w:rsid w:val="00631130"/>
    <w:rsid w:val="00634979"/>
    <w:rsid w:val="006375ED"/>
    <w:rsid w:val="006418BF"/>
    <w:rsid w:val="006459C2"/>
    <w:rsid w:val="00645C0B"/>
    <w:rsid w:val="0064770D"/>
    <w:rsid w:val="006532D4"/>
    <w:rsid w:val="00654787"/>
    <w:rsid w:val="006617FB"/>
    <w:rsid w:val="00670C13"/>
    <w:rsid w:val="00682039"/>
    <w:rsid w:val="00690792"/>
    <w:rsid w:val="00690CC9"/>
    <w:rsid w:val="00691346"/>
    <w:rsid w:val="00692060"/>
    <w:rsid w:val="006A23D2"/>
    <w:rsid w:val="006A2C0E"/>
    <w:rsid w:val="006A6A1D"/>
    <w:rsid w:val="006B0506"/>
    <w:rsid w:val="006B0D35"/>
    <w:rsid w:val="006B43A1"/>
    <w:rsid w:val="006B4484"/>
    <w:rsid w:val="006C7378"/>
    <w:rsid w:val="006D46D9"/>
    <w:rsid w:val="006E10A5"/>
    <w:rsid w:val="006E1156"/>
    <w:rsid w:val="006E3744"/>
    <w:rsid w:val="006F1CF1"/>
    <w:rsid w:val="00702010"/>
    <w:rsid w:val="00710802"/>
    <w:rsid w:val="00724661"/>
    <w:rsid w:val="0072472A"/>
    <w:rsid w:val="007275A2"/>
    <w:rsid w:val="007328C8"/>
    <w:rsid w:val="0073604D"/>
    <w:rsid w:val="00754D78"/>
    <w:rsid w:val="00755DC6"/>
    <w:rsid w:val="00757B1C"/>
    <w:rsid w:val="00760F3F"/>
    <w:rsid w:val="007620A4"/>
    <w:rsid w:val="00764B44"/>
    <w:rsid w:val="0077105D"/>
    <w:rsid w:val="0077225E"/>
    <w:rsid w:val="00776E81"/>
    <w:rsid w:val="00780C93"/>
    <w:rsid w:val="00787FA1"/>
    <w:rsid w:val="00794E4E"/>
    <w:rsid w:val="0079585B"/>
    <w:rsid w:val="007A394A"/>
    <w:rsid w:val="007A7136"/>
    <w:rsid w:val="007B3E84"/>
    <w:rsid w:val="007B4587"/>
    <w:rsid w:val="007C0766"/>
    <w:rsid w:val="007D4EAD"/>
    <w:rsid w:val="007D6DBF"/>
    <w:rsid w:val="007D6DF4"/>
    <w:rsid w:val="007D6FA4"/>
    <w:rsid w:val="007E39A6"/>
    <w:rsid w:val="007E6419"/>
    <w:rsid w:val="007F466F"/>
    <w:rsid w:val="00807CFA"/>
    <w:rsid w:val="008123AA"/>
    <w:rsid w:val="008156C6"/>
    <w:rsid w:val="00823170"/>
    <w:rsid w:val="00823557"/>
    <w:rsid w:val="00824DED"/>
    <w:rsid w:val="00826E8A"/>
    <w:rsid w:val="00861A0C"/>
    <w:rsid w:val="00863BE9"/>
    <w:rsid w:val="008674AD"/>
    <w:rsid w:val="00871D3B"/>
    <w:rsid w:val="008725B6"/>
    <w:rsid w:val="0087596E"/>
    <w:rsid w:val="00875B3F"/>
    <w:rsid w:val="0088131E"/>
    <w:rsid w:val="008824B3"/>
    <w:rsid w:val="008931D0"/>
    <w:rsid w:val="008A10A7"/>
    <w:rsid w:val="008A350C"/>
    <w:rsid w:val="008A7965"/>
    <w:rsid w:val="008B21CC"/>
    <w:rsid w:val="008B3226"/>
    <w:rsid w:val="008B4285"/>
    <w:rsid w:val="008C055B"/>
    <w:rsid w:val="008C1985"/>
    <w:rsid w:val="008C66CE"/>
    <w:rsid w:val="008D163B"/>
    <w:rsid w:val="008D76D9"/>
    <w:rsid w:val="008E33DE"/>
    <w:rsid w:val="008E33E0"/>
    <w:rsid w:val="008E3CCE"/>
    <w:rsid w:val="008E3DCA"/>
    <w:rsid w:val="008E6838"/>
    <w:rsid w:val="008F4B6E"/>
    <w:rsid w:val="00902121"/>
    <w:rsid w:val="0090376E"/>
    <w:rsid w:val="00907132"/>
    <w:rsid w:val="00911BFE"/>
    <w:rsid w:val="00913080"/>
    <w:rsid w:val="00923911"/>
    <w:rsid w:val="0095090A"/>
    <w:rsid w:val="009540C9"/>
    <w:rsid w:val="00963DEB"/>
    <w:rsid w:val="00972B25"/>
    <w:rsid w:val="00975C17"/>
    <w:rsid w:val="00994223"/>
    <w:rsid w:val="0099664F"/>
    <w:rsid w:val="009A7B5A"/>
    <w:rsid w:val="009B17CE"/>
    <w:rsid w:val="009B2A61"/>
    <w:rsid w:val="009C32A2"/>
    <w:rsid w:val="009C45C9"/>
    <w:rsid w:val="009E10AC"/>
    <w:rsid w:val="009E7D27"/>
    <w:rsid w:val="009F0CE8"/>
    <w:rsid w:val="00A009CE"/>
    <w:rsid w:val="00A25723"/>
    <w:rsid w:val="00A40C75"/>
    <w:rsid w:val="00A4651C"/>
    <w:rsid w:val="00A476D5"/>
    <w:rsid w:val="00A536D0"/>
    <w:rsid w:val="00A63F8F"/>
    <w:rsid w:val="00A640E4"/>
    <w:rsid w:val="00A65127"/>
    <w:rsid w:val="00A76C72"/>
    <w:rsid w:val="00A821FB"/>
    <w:rsid w:val="00A9014E"/>
    <w:rsid w:val="00A9745A"/>
    <w:rsid w:val="00A978C2"/>
    <w:rsid w:val="00AA02D6"/>
    <w:rsid w:val="00AC2F69"/>
    <w:rsid w:val="00AC6DD7"/>
    <w:rsid w:val="00AD39B2"/>
    <w:rsid w:val="00AD6359"/>
    <w:rsid w:val="00AE4471"/>
    <w:rsid w:val="00AF1B7E"/>
    <w:rsid w:val="00B065CD"/>
    <w:rsid w:val="00B101AE"/>
    <w:rsid w:val="00B13110"/>
    <w:rsid w:val="00B144D3"/>
    <w:rsid w:val="00B262D8"/>
    <w:rsid w:val="00B40AF1"/>
    <w:rsid w:val="00B4106A"/>
    <w:rsid w:val="00B459FB"/>
    <w:rsid w:val="00B46B4D"/>
    <w:rsid w:val="00B50256"/>
    <w:rsid w:val="00B56497"/>
    <w:rsid w:val="00B57439"/>
    <w:rsid w:val="00B65540"/>
    <w:rsid w:val="00B675EE"/>
    <w:rsid w:val="00B67B5B"/>
    <w:rsid w:val="00B7034D"/>
    <w:rsid w:val="00B71C33"/>
    <w:rsid w:val="00B72370"/>
    <w:rsid w:val="00B7680C"/>
    <w:rsid w:val="00B80939"/>
    <w:rsid w:val="00B823C9"/>
    <w:rsid w:val="00B85A9B"/>
    <w:rsid w:val="00B87C22"/>
    <w:rsid w:val="00B93A3A"/>
    <w:rsid w:val="00B93DD8"/>
    <w:rsid w:val="00B95696"/>
    <w:rsid w:val="00B95DCC"/>
    <w:rsid w:val="00B96E7C"/>
    <w:rsid w:val="00BA1485"/>
    <w:rsid w:val="00BB1D3E"/>
    <w:rsid w:val="00BB7735"/>
    <w:rsid w:val="00BC49B0"/>
    <w:rsid w:val="00BC60C0"/>
    <w:rsid w:val="00BE0193"/>
    <w:rsid w:val="00BE15DC"/>
    <w:rsid w:val="00BE176A"/>
    <w:rsid w:val="00BE240F"/>
    <w:rsid w:val="00BE3770"/>
    <w:rsid w:val="00BF349F"/>
    <w:rsid w:val="00BF6FD2"/>
    <w:rsid w:val="00C0178F"/>
    <w:rsid w:val="00C0243B"/>
    <w:rsid w:val="00C0397E"/>
    <w:rsid w:val="00C21D85"/>
    <w:rsid w:val="00C26C0C"/>
    <w:rsid w:val="00C30014"/>
    <w:rsid w:val="00C475F1"/>
    <w:rsid w:val="00C61713"/>
    <w:rsid w:val="00C64393"/>
    <w:rsid w:val="00C6526B"/>
    <w:rsid w:val="00C67429"/>
    <w:rsid w:val="00C67D29"/>
    <w:rsid w:val="00C72030"/>
    <w:rsid w:val="00C842FE"/>
    <w:rsid w:val="00C85E93"/>
    <w:rsid w:val="00C8766B"/>
    <w:rsid w:val="00C87ED6"/>
    <w:rsid w:val="00CB08DE"/>
    <w:rsid w:val="00CD2692"/>
    <w:rsid w:val="00CD6A19"/>
    <w:rsid w:val="00CE487F"/>
    <w:rsid w:val="00CE4B9E"/>
    <w:rsid w:val="00CF3723"/>
    <w:rsid w:val="00CF42E7"/>
    <w:rsid w:val="00CF4EDE"/>
    <w:rsid w:val="00D01B71"/>
    <w:rsid w:val="00D0259C"/>
    <w:rsid w:val="00D062AB"/>
    <w:rsid w:val="00D14443"/>
    <w:rsid w:val="00D167AA"/>
    <w:rsid w:val="00D26097"/>
    <w:rsid w:val="00D4254B"/>
    <w:rsid w:val="00D428DD"/>
    <w:rsid w:val="00D459A0"/>
    <w:rsid w:val="00D4761C"/>
    <w:rsid w:val="00D50B2D"/>
    <w:rsid w:val="00D51D81"/>
    <w:rsid w:val="00D5331F"/>
    <w:rsid w:val="00D5758E"/>
    <w:rsid w:val="00D57EDE"/>
    <w:rsid w:val="00D632C3"/>
    <w:rsid w:val="00D638C2"/>
    <w:rsid w:val="00D70E3E"/>
    <w:rsid w:val="00D73445"/>
    <w:rsid w:val="00D913E4"/>
    <w:rsid w:val="00D94241"/>
    <w:rsid w:val="00D95AD1"/>
    <w:rsid w:val="00DB5EE9"/>
    <w:rsid w:val="00DB7607"/>
    <w:rsid w:val="00DC25B8"/>
    <w:rsid w:val="00DC6422"/>
    <w:rsid w:val="00DD0B87"/>
    <w:rsid w:val="00DD4B61"/>
    <w:rsid w:val="00DD59B4"/>
    <w:rsid w:val="00DD782C"/>
    <w:rsid w:val="00DD7A94"/>
    <w:rsid w:val="00DD7F0E"/>
    <w:rsid w:val="00DE112C"/>
    <w:rsid w:val="00DE3FDB"/>
    <w:rsid w:val="00DE48E8"/>
    <w:rsid w:val="00DE51ED"/>
    <w:rsid w:val="00DF0774"/>
    <w:rsid w:val="00DF0DB1"/>
    <w:rsid w:val="00DF123A"/>
    <w:rsid w:val="00DF25F7"/>
    <w:rsid w:val="00DF3BD0"/>
    <w:rsid w:val="00E04536"/>
    <w:rsid w:val="00E07313"/>
    <w:rsid w:val="00E10DD7"/>
    <w:rsid w:val="00E135E6"/>
    <w:rsid w:val="00E23271"/>
    <w:rsid w:val="00E35A71"/>
    <w:rsid w:val="00E35BF7"/>
    <w:rsid w:val="00E44315"/>
    <w:rsid w:val="00E46F46"/>
    <w:rsid w:val="00E476E7"/>
    <w:rsid w:val="00E504E8"/>
    <w:rsid w:val="00E51C45"/>
    <w:rsid w:val="00E63AA6"/>
    <w:rsid w:val="00E670CA"/>
    <w:rsid w:val="00E71DD7"/>
    <w:rsid w:val="00E723C0"/>
    <w:rsid w:val="00E74E09"/>
    <w:rsid w:val="00E81C67"/>
    <w:rsid w:val="00E87CCF"/>
    <w:rsid w:val="00E910CE"/>
    <w:rsid w:val="00E96F67"/>
    <w:rsid w:val="00E9729E"/>
    <w:rsid w:val="00EA4AE0"/>
    <w:rsid w:val="00EA56E8"/>
    <w:rsid w:val="00EB7EE3"/>
    <w:rsid w:val="00ED018A"/>
    <w:rsid w:val="00ED4A96"/>
    <w:rsid w:val="00ED537F"/>
    <w:rsid w:val="00EE1D76"/>
    <w:rsid w:val="00EF3A1E"/>
    <w:rsid w:val="00EF6F74"/>
    <w:rsid w:val="00F062A3"/>
    <w:rsid w:val="00F118BB"/>
    <w:rsid w:val="00F2097F"/>
    <w:rsid w:val="00F2581B"/>
    <w:rsid w:val="00F27377"/>
    <w:rsid w:val="00F336D2"/>
    <w:rsid w:val="00F347C6"/>
    <w:rsid w:val="00F41034"/>
    <w:rsid w:val="00F474F3"/>
    <w:rsid w:val="00F57FC7"/>
    <w:rsid w:val="00F61750"/>
    <w:rsid w:val="00F6536D"/>
    <w:rsid w:val="00F76FFF"/>
    <w:rsid w:val="00F801CB"/>
    <w:rsid w:val="00F916A5"/>
    <w:rsid w:val="00FA1D38"/>
    <w:rsid w:val="00FA55D0"/>
    <w:rsid w:val="00FB7EE2"/>
    <w:rsid w:val="00FC28C8"/>
    <w:rsid w:val="00FC4E9F"/>
    <w:rsid w:val="00FC575C"/>
    <w:rsid w:val="00FC788C"/>
    <w:rsid w:val="00FE15CE"/>
    <w:rsid w:val="00FE15F4"/>
    <w:rsid w:val="00FE1DAD"/>
    <w:rsid w:val="00FE6764"/>
    <w:rsid w:val="00FF085A"/>
    <w:rsid w:val="00FF4D88"/>
    <w:rsid w:val="00FF7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196"/>
    <w:rPr>
      <w:sz w:val="24"/>
      <w:szCs w:val="24"/>
      <w:lang w:val="nl-NL" w:eastAsia="nl-NL"/>
    </w:rPr>
  </w:style>
  <w:style w:type="paragraph" w:styleId="Balk4">
    <w:name w:val="heading 4"/>
    <w:basedOn w:val="Normal"/>
    <w:link w:val="Balk4Char"/>
    <w:uiPriority w:val="9"/>
    <w:qFormat/>
    <w:rsid w:val="00D94241"/>
    <w:pPr>
      <w:spacing w:before="100" w:beforeAutospacing="1" w:after="100" w:afterAutospacing="1"/>
      <w:outlineLvl w:val="3"/>
    </w:pPr>
    <w:rPr>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42196"/>
    <w:pPr>
      <w:tabs>
        <w:tab w:val="center" w:pos="4536"/>
        <w:tab w:val="right" w:pos="9072"/>
      </w:tabs>
    </w:pPr>
  </w:style>
  <w:style w:type="paragraph" w:styleId="Altbilgi">
    <w:name w:val="footer"/>
    <w:basedOn w:val="Normal"/>
    <w:link w:val="AltbilgiChar"/>
    <w:uiPriority w:val="99"/>
    <w:rsid w:val="00242196"/>
    <w:pPr>
      <w:tabs>
        <w:tab w:val="center" w:pos="4536"/>
        <w:tab w:val="right" w:pos="9072"/>
      </w:tabs>
    </w:pPr>
  </w:style>
  <w:style w:type="character" w:styleId="SayfaNumaras">
    <w:name w:val="page number"/>
    <w:basedOn w:val="VarsaylanParagrafYazTipi"/>
    <w:rsid w:val="00DD782C"/>
  </w:style>
  <w:style w:type="character" w:styleId="Kpr">
    <w:name w:val="Hyperlink"/>
    <w:basedOn w:val="VarsaylanParagrafYazTipi"/>
    <w:uiPriority w:val="99"/>
    <w:unhideWhenUsed/>
    <w:rsid w:val="006E10A5"/>
    <w:rPr>
      <w:strike w:val="0"/>
      <w:dstrike w:val="0"/>
      <w:color w:val="000000"/>
      <w:u w:val="none"/>
      <w:effect w:val="none"/>
    </w:rPr>
  </w:style>
  <w:style w:type="paragraph" w:styleId="NormalWeb">
    <w:name w:val="Normal (Web)"/>
    <w:basedOn w:val="Normal"/>
    <w:link w:val="NormalWebChar"/>
    <w:uiPriority w:val="99"/>
    <w:unhideWhenUsed/>
    <w:rsid w:val="006E10A5"/>
    <w:pPr>
      <w:spacing w:before="100" w:beforeAutospacing="1" w:after="100" w:afterAutospacing="1"/>
    </w:pPr>
    <w:rPr>
      <w:lang w:val="tr-TR" w:eastAsia="tr-TR"/>
    </w:rPr>
  </w:style>
  <w:style w:type="paragraph" w:customStyle="1" w:styleId="seealsocrossref">
    <w:name w:val="seealso_crossref"/>
    <w:basedOn w:val="Normal"/>
    <w:rsid w:val="006E10A5"/>
    <w:pPr>
      <w:spacing w:before="100" w:beforeAutospacing="1" w:after="100" w:afterAutospacing="1"/>
    </w:pPr>
    <w:rPr>
      <w:lang w:val="tr-TR" w:eastAsia="tr-TR"/>
    </w:rPr>
  </w:style>
  <w:style w:type="character" w:customStyle="1" w:styleId="cross-ref">
    <w:name w:val="cross-ref"/>
    <w:basedOn w:val="VarsaylanParagrafYazTipi"/>
    <w:rsid w:val="006E10A5"/>
  </w:style>
  <w:style w:type="character" w:customStyle="1" w:styleId="Balk4Char">
    <w:name w:val="Başlık 4 Char"/>
    <w:basedOn w:val="VarsaylanParagrafYazTipi"/>
    <w:link w:val="Balk4"/>
    <w:uiPriority w:val="9"/>
    <w:rsid w:val="00D94241"/>
    <w:rPr>
      <w:b/>
      <w:bCs/>
      <w:sz w:val="24"/>
      <w:szCs w:val="24"/>
    </w:rPr>
  </w:style>
  <w:style w:type="character" w:customStyle="1" w:styleId="NormalWebChar">
    <w:name w:val="Normal (Web) Char"/>
    <w:basedOn w:val="VarsaylanParagrafYazTipi"/>
    <w:link w:val="NormalWeb"/>
    <w:uiPriority w:val="99"/>
    <w:rsid w:val="00DF0774"/>
    <w:rPr>
      <w:sz w:val="24"/>
      <w:szCs w:val="24"/>
    </w:rPr>
  </w:style>
  <w:style w:type="character" w:customStyle="1" w:styleId="AltbilgiChar">
    <w:name w:val="Altbilgi Char"/>
    <w:basedOn w:val="VarsaylanParagrafYazTipi"/>
    <w:link w:val="Altbilgi"/>
    <w:uiPriority w:val="99"/>
    <w:rsid w:val="00AD39B2"/>
    <w:rPr>
      <w:sz w:val="24"/>
      <w:szCs w:val="24"/>
      <w:lang w:val="nl-NL" w:eastAsia="nl-NL"/>
    </w:rPr>
  </w:style>
  <w:style w:type="paragraph" w:styleId="GvdeMetni2">
    <w:name w:val="Body Text 2"/>
    <w:basedOn w:val="Normal"/>
    <w:link w:val="GvdeMetni2Char"/>
    <w:rsid w:val="006A23D2"/>
    <w:pPr>
      <w:spacing w:line="300" w:lineRule="auto"/>
      <w:jc w:val="both"/>
    </w:pPr>
    <w:rPr>
      <w:rFonts w:ascii="Arial" w:hAnsi="Arial"/>
      <w:sz w:val="22"/>
      <w:szCs w:val="20"/>
      <w:lang w:val="tr-TR" w:eastAsia="tr-TR"/>
    </w:rPr>
  </w:style>
  <w:style w:type="character" w:customStyle="1" w:styleId="GvdeMetni2Char">
    <w:name w:val="Gövde Metni 2 Char"/>
    <w:basedOn w:val="VarsaylanParagrafYazTipi"/>
    <w:link w:val="GvdeMetni2"/>
    <w:rsid w:val="006A23D2"/>
    <w:rPr>
      <w:rFonts w:ascii="Arial" w:hAnsi="Arial"/>
      <w:sz w:val="22"/>
    </w:rPr>
  </w:style>
  <w:style w:type="character" w:styleId="AklamaBavurusu">
    <w:name w:val="annotation reference"/>
    <w:basedOn w:val="VarsaylanParagrafYazTipi"/>
    <w:rsid w:val="00175B72"/>
    <w:rPr>
      <w:sz w:val="16"/>
      <w:szCs w:val="16"/>
    </w:rPr>
  </w:style>
  <w:style w:type="paragraph" w:styleId="AklamaMetni">
    <w:name w:val="annotation text"/>
    <w:basedOn w:val="Normal"/>
    <w:link w:val="AklamaMetniChar"/>
    <w:rsid w:val="00175B72"/>
    <w:rPr>
      <w:sz w:val="20"/>
      <w:szCs w:val="20"/>
    </w:rPr>
  </w:style>
  <w:style w:type="character" w:customStyle="1" w:styleId="AklamaMetniChar">
    <w:name w:val="Açıklama Metni Char"/>
    <w:basedOn w:val="VarsaylanParagrafYazTipi"/>
    <w:link w:val="AklamaMetni"/>
    <w:rsid w:val="00175B72"/>
    <w:rPr>
      <w:lang w:val="nl-NL" w:eastAsia="nl-NL"/>
    </w:rPr>
  </w:style>
  <w:style w:type="paragraph" w:styleId="AklamaKonusu">
    <w:name w:val="annotation subject"/>
    <w:basedOn w:val="AklamaMetni"/>
    <w:next w:val="AklamaMetni"/>
    <w:link w:val="AklamaKonusuChar"/>
    <w:rsid w:val="00175B72"/>
    <w:rPr>
      <w:b/>
      <w:bCs/>
    </w:rPr>
  </w:style>
  <w:style w:type="character" w:customStyle="1" w:styleId="AklamaKonusuChar">
    <w:name w:val="Açıklama Konusu Char"/>
    <w:basedOn w:val="AklamaMetniChar"/>
    <w:link w:val="AklamaKonusu"/>
    <w:rsid w:val="00175B72"/>
    <w:rPr>
      <w:b/>
      <w:bCs/>
    </w:rPr>
  </w:style>
  <w:style w:type="paragraph" w:styleId="BalonMetni">
    <w:name w:val="Balloon Text"/>
    <w:basedOn w:val="Normal"/>
    <w:link w:val="BalonMetniChar"/>
    <w:rsid w:val="00175B72"/>
    <w:rPr>
      <w:rFonts w:ascii="Tahoma" w:hAnsi="Tahoma" w:cs="Tahoma"/>
      <w:sz w:val="16"/>
      <w:szCs w:val="16"/>
    </w:rPr>
  </w:style>
  <w:style w:type="character" w:customStyle="1" w:styleId="BalonMetniChar">
    <w:name w:val="Balon Metni Char"/>
    <w:basedOn w:val="VarsaylanParagrafYazTipi"/>
    <w:link w:val="BalonMetni"/>
    <w:rsid w:val="00175B72"/>
    <w:rPr>
      <w:rFonts w:ascii="Tahoma" w:hAnsi="Tahoma" w:cs="Tahoma"/>
      <w:sz w:val="16"/>
      <w:szCs w:val="16"/>
      <w:lang w:val="nl-NL" w:eastAsia="nl-NL"/>
    </w:rPr>
  </w:style>
  <w:style w:type="paragraph" w:customStyle="1" w:styleId="Default">
    <w:name w:val="Default"/>
    <w:rsid w:val="0053606F"/>
    <w:pPr>
      <w:autoSpaceDE w:val="0"/>
      <w:autoSpaceDN w:val="0"/>
      <w:adjustRightInd w:val="0"/>
    </w:pPr>
    <w:rPr>
      <w:color w:val="000000"/>
      <w:sz w:val="24"/>
      <w:szCs w:val="24"/>
    </w:rPr>
  </w:style>
  <w:style w:type="table" w:styleId="TabloKlavuzu">
    <w:name w:val="Table Grid"/>
    <w:basedOn w:val="NormalTablo"/>
    <w:rsid w:val="009130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913080"/>
    <w:pPr>
      <w:ind w:left="720"/>
      <w:contextualSpacing/>
    </w:pPr>
  </w:style>
</w:styles>
</file>

<file path=word/webSettings.xml><?xml version="1.0" encoding="utf-8"?>
<w:webSettings xmlns:r="http://schemas.openxmlformats.org/officeDocument/2006/relationships" xmlns:w="http://schemas.openxmlformats.org/wordprocessingml/2006/main">
  <w:divs>
    <w:div w:id="126706228">
      <w:bodyDiv w:val="1"/>
      <w:marLeft w:val="0"/>
      <w:marRight w:val="0"/>
      <w:marTop w:val="0"/>
      <w:marBottom w:val="0"/>
      <w:divBdr>
        <w:top w:val="none" w:sz="0" w:space="0" w:color="auto"/>
        <w:left w:val="none" w:sz="0" w:space="0" w:color="auto"/>
        <w:bottom w:val="none" w:sz="0" w:space="0" w:color="auto"/>
        <w:right w:val="none" w:sz="0" w:space="0" w:color="auto"/>
      </w:divBdr>
    </w:div>
    <w:div w:id="140269171">
      <w:bodyDiv w:val="1"/>
      <w:marLeft w:val="0"/>
      <w:marRight w:val="0"/>
      <w:marTop w:val="0"/>
      <w:marBottom w:val="0"/>
      <w:divBdr>
        <w:top w:val="none" w:sz="0" w:space="0" w:color="auto"/>
        <w:left w:val="none" w:sz="0" w:space="0" w:color="auto"/>
        <w:bottom w:val="none" w:sz="0" w:space="0" w:color="auto"/>
        <w:right w:val="none" w:sz="0" w:space="0" w:color="auto"/>
      </w:divBdr>
    </w:div>
    <w:div w:id="13290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4204</Words>
  <Characters>31180</Characters>
  <Application>Microsoft Office Word</Application>
  <DocSecurity>0</DocSecurity>
  <Lines>259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Deva Holding</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mozdogan</dc:creator>
  <cp:keywords/>
  <dc:description/>
  <cp:lastModifiedBy>fersari</cp:lastModifiedBy>
  <cp:revision>7</cp:revision>
  <cp:lastPrinted>2014-07-10T11:27:00Z</cp:lastPrinted>
  <dcterms:created xsi:type="dcterms:W3CDTF">2014-01-16T09:07:00Z</dcterms:created>
  <dcterms:modified xsi:type="dcterms:W3CDTF">2014-12-30T08:47:00Z</dcterms:modified>
</cp:coreProperties>
</file>