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F1" w:rsidRPr="004B3EB9" w:rsidRDefault="00396DF1" w:rsidP="00C86B5D">
      <w:pPr>
        <w:spacing w:after="0"/>
        <w:jc w:val="center"/>
        <w:rPr>
          <w:rFonts w:ascii="Times New Roman" w:hAnsi="Times New Roman"/>
          <w:b/>
          <w:bCs/>
          <w:sz w:val="24"/>
          <w:szCs w:val="24"/>
        </w:rPr>
      </w:pPr>
      <w:r w:rsidRPr="004B3EB9">
        <w:rPr>
          <w:rFonts w:ascii="Times New Roman" w:hAnsi="Times New Roman"/>
          <w:b/>
          <w:bCs/>
          <w:sz w:val="24"/>
          <w:szCs w:val="24"/>
        </w:rPr>
        <w:t>KISA ÜRÜN BİLGİLERİ</w:t>
      </w:r>
    </w:p>
    <w:p w:rsidR="00FA40FF" w:rsidRPr="004B3EB9" w:rsidRDefault="00FA40FF" w:rsidP="00C86B5D">
      <w:pPr>
        <w:spacing w:after="0"/>
        <w:jc w:val="both"/>
        <w:rPr>
          <w:rFonts w:ascii="Times New Roman" w:hAnsi="Times New Roman"/>
          <w:b/>
          <w:bCs/>
          <w:sz w:val="24"/>
          <w:szCs w:val="24"/>
        </w:rPr>
      </w:pP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b/>
          <w:bCs/>
          <w:sz w:val="24"/>
          <w:szCs w:val="24"/>
        </w:rPr>
        <w:t>1.</w:t>
      </w:r>
      <w:r w:rsidRPr="004B3EB9">
        <w:rPr>
          <w:rFonts w:ascii="Times New Roman" w:hAnsi="Times New Roman"/>
          <w:b/>
          <w:bCs/>
          <w:sz w:val="24"/>
          <w:szCs w:val="24"/>
        </w:rPr>
        <w:tab/>
        <w:t xml:space="preserve">BEŞERİ TIBBİ </w:t>
      </w:r>
      <w:r w:rsidRPr="004B3EB9">
        <w:rPr>
          <w:rFonts w:ascii="Times New Roman" w:hAnsi="Times New Roman"/>
          <w:b/>
          <w:sz w:val="24"/>
          <w:szCs w:val="24"/>
        </w:rPr>
        <w:t xml:space="preserve">ÜRÜNÜN </w:t>
      </w:r>
      <w:r w:rsidRPr="004B3EB9">
        <w:rPr>
          <w:rFonts w:ascii="Times New Roman" w:hAnsi="Times New Roman"/>
          <w:b/>
          <w:bCs/>
          <w:sz w:val="24"/>
          <w:szCs w:val="24"/>
        </w:rPr>
        <w:t>ADI</w:t>
      </w: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sz w:val="24"/>
          <w:szCs w:val="24"/>
        </w:rPr>
        <w:t xml:space="preserve">İMATİS 100 mg </w:t>
      </w:r>
      <w:r w:rsidR="009369BC" w:rsidRPr="009369BC">
        <w:rPr>
          <w:rFonts w:ascii="Times New Roman" w:hAnsi="Times New Roman"/>
          <w:sz w:val="24"/>
          <w:szCs w:val="24"/>
        </w:rPr>
        <w:t>film tablet</w:t>
      </w:r>
    </w:p>
    <w:p w:rsidR="00DF0208" w:rsidRPr="004B3EB9" w:rsidRDefault="00DF0208" w:rsidP="00C86B5D">
      <w:pPr>
        <w:spacing w:after="0"/>
        <w:jc w:val="both"/>
        <w:rPr>
          <w:rFonts w:ascii="Times New Roman" w:hAnsi="Times New Roman"/>
          <w:sz w:val="24"/>
          <w:szCs w:val="24"/>
          <w:highlight w:val="yellow"/>
        </w:rPr>
      </w:pP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b/>
          <w:bCs/>
          <w:sz w:val="24"/>
          <w:szCs w:val="24"/>
        </w:rPr>
        <w:t>2.</w:t>
      </w:r>
      <w:r w:rsidRPr="004B3EB9">
        <w:rPr>
          <w:rFonts w:ascii="Times New Roman" w:hAnsi="Times New Roman"/>
          <w:b/>
          <w:bCs/>
          <w:sz w:val="24"/>
          <w:szCs w:val="24"/>
        </w:rPr>
        <w:tab/>
        <w:t>KALİTATİF VE KANTİTATİF BİLEŞİM</w:t>
      </w:r>
    </w:p>
    <w:p w:rsidR="00DF0208" w:rsidRPr="004B3EB9" w:rsidRDefault="00DF0208" w:rsidP="00C86B5D">
      <w:pPr>
        <w:spacing w:after="0"/>
        <w:jc w:val="both"/>
        <w:rPr>
          <w:rFonts w:ascii="Times New Roman" w:hAnsi="Times New Roman"/>
          <w:b/>
          <w:sz w:val="24"/>
          <w:szCs w:val="24"/>
        </w:rPr>
      </w:pPr>
      <w:r w:rsidRPr="004B3EB9">
        <w:rPr>
          <w:rFonts w:ascii="Times New Roman" w:hAnsi="Times New Roman"/>
          <w:b/>
          <w:sz w:val="24"/>
          <w:szCs w:val="24"/>
        </w:rPr>
        <w:t>Etkin madde:</w:t>
      </w: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sz w:val="24"/>
          <w:szCs w:val="24"/>
        </w:rPr>
        <w:t>Bir film tablet, 100 mg imatinib (mesilat tuzu olarak) içerir.</w:t>
      </w:r>
    </w:p>
    <w:p w:rsidR="00DF0208" w:rsidRPr="004B3EB9" w:rsidRDefault="00DF0208" w:rsidP="00C86B5D">
      <w:pPr>
        <w:spacing w:after="0"/>
        <w:jc w:val="both"/>
        <w:rPr>
          <w:rFonts w:ascii="Times New Roman" w:hAnsi="Times New Roman"/>
          <w:b/>
          <w:sz w:val="24"/>
          <w:szCs w:val="24"/>
        </w:rPr>
      </w:pPr>
      <w:r w:rsidRPr="004B3EB9">
        <w:rPr>
          <w:rFonts w:ascii="Times New Roman" w:hAnsi="Times New Roman"/>
          <w:b/>
          <w:sz w:val="24"/>
          <w:szCs w:val="24"/>
        </w:rPr>
        <w:t>Yardımcı maddeler:</w:t>
      </w: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sz w:val="24"/>
          <w:szCs w:val="24"/>
        </w:rPr>
        <w:t xml:space="preserve">Yardımcı maddeler için </w:t>
      </w:r>
      <w:proofErr w:type="gramStart"/>
      <w:r w:rsidRPr="004B3EB9">
        <w:rPr>
          <w:rFonts w:ascii="Times New Roman" w:hAnsi="Times New Roman"/>
          <w:sz w:val="24"/>
          <w:szCs w:val="24"/>
        </w:rPr>
        <w:t>6.1</w:t>
      </w:r>
      <w:r w:rsidR="00F54064">
        <w:rPr>
          <w:rFonts w:ascii="Times New Roman" w:hAnsi="Times New Roman"/>
          <w:sz w:val="24"/>
          <w:szCs w:val="24"/>
        </w:rPr>
        <w:t>’</w:t>
      </w:r>
      <w:r w:rsidRPr="004B3EB9">
        <w:rPr>
          <w:rFonts w:ascii="Times New Roman" w:hAnsi="Times New Roman"/>
          <w:sz w:val="24"/>
          <w:szCs w:val="24"/>
        </w:rPr>
        <w:t>e</w:t>
      </w:r>
      <w:proofErr w:type="gramEnd"/>
      <w:r w:rsidRPr="004B3EB9">
        <w:rPr>
          <w:rFonts w:ascii="Times New Roman" w:hAnsi="Times New Roman"/>
          <w:sz w:val="24"/>
          <w:szCs w:val="24"/>
        </w:rPr>
        <w:t xml:space="preserve"> bakınız.</w:t>
      </w:r>
    </w:p>
    <w:p w:rsidR="00DF0208" w:rsidRPr="004B3EB9" w:rsidRDefault="00DF0208" w:rsidP="00C86B5D">
      <w:pPr>
        <w:spacing w:after="0"/>
        <w:jc w:val="both"/>
        <w:rPr>
          <w:rFonts w:ascii="Times New Roman" w:hAnsi="Times New Roman"/>
          <w:sz w:val="24"/>
          <w:szCs w:val="24"/>
          <w:highlight w:val="yellow"/>
        </w:rPr>
      </w:pP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b/>
          <w:bCs/>
          <w:sz w:val="24"/>
          <w:szCs w:val="24"/>
        </w:rPr>
        <w:t>3.</w:t>
      </w:r>
      <w:r w:rsidRPr="004B3EB9">
        <w:rPr>
          <w:rFonts w:ascii="Times New Roman" w:hAnsi="Times New Roman"/>
          <w:b/>
          <w:bCs/>
          <w:sz w:val="24"/>
          <w:szCs w:val="24"/>
        </w:rPr>
        <w:tab/>
        <w:t>FARMASÖTİK FORM</w:t>
      </w: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sz w:val="24"/>
          <w:szCs w:val="24"/>
        </w:rPr>
        <w:t xml:space="preserve">Film </w:t>
      </w:r>
      <w:r w:rsidR="00D90C7C">
        <w:rPr>
          <w:rFonts w:ascii="Times New Roman" w:hAnsi="Times New Roman"/>
          <w:sz w:val="24"/>
          <w:szCs w:val="24"/>
        </w:rPr>
        <w:t>t</w:t>
      </w:r>
      <w:r w:rsidRPr="004B3EB9">
        <w:rPr>
          <w:rFonts w:ascii="Times New Roman" w:hAnsi="Times New Roman"/>
          <w:sz w:val="24"/>
          <w:szCs w:val="24"/>
        </w:rPr>
        <w:t>ablet</w:t>
      </w:r>
      <w:r w:rsidR="00D90C7C">
        <w:rPr>
          <w:rFonts w:ascii="Times New Roman" w:hAnsi="Times New Roman"/>
          <w:sz w:val="24"/>
          <w:szCs w:val="24"/>
        </w:rPr>
        <w:t>.</w:t>
      </w:r>
    </w:p>
    <w:p w:rsidR="00DF0208" w:rsidRPr="004B3EB9" w:rsidRDefault="00C0048C" w:rsidP="00C86B5D">
      <w:pPr>
        <w:spacing w:after="0"/>
        <w:jc w:val="both"/>
        <w:rPr>
          <w:rFonts w:ascii="Times New Roman" w:hAnsi="Times New Roman"/>
          <w:sz w:val="24"/>
          <w:szCs w:val="24"/>
        </w:rPr>
      </w:pPr>
      <w:bookmarkStart w:id="0" w:name="OLE_LINK1"/>
      <w:bookmarkStart w:id="1" w:name="OLE_LINK2"/>
      <w:r w:rsidRPr="004B3EB9">
        <w:rPr>
          <w:rFonts w:ascii="Times New Roman" w:hAnsi="Times New Roman"/>
          <w:sz w:val="24"/>
          <w:szCs w:val="24"/>
        </w:rPr>
        <w:t>Ç</w:t>
      </w:r>
      <w:r w:rsidR="00DF0208" w:rsidRPr="004B3EB9">
        <w:rPr>
          <w:rFonts w:ascii="Times New Roman" w:hAnsi="Times New Roman"/>
          <w:sz w:val="24"/>
          <w:szCs w:val="24"/>
        </w:rPr>
        <w:t xml:space="preserve">ok koyu sarı ile kahverengimsi turuncu renkli yuvarlak, bir yüzü çentikli, bikonveks film kaplı tablettir. </w:t>
      </w:r>
    </w:p>
    <w:bookmarkEnd w:id="0"/>
    <w:bookmarkEnd w:id="1"/>
    <w:p w:rsidR="00F3186B" w:rsidRPr="004B3EB9" w:rsidRDefault="00F3186B"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b/>
          <w:bCs/>
          <w:sz w:val="24"/>
          <w:szCs w:val="24"/>
        </w:rPr>
      </w:pPr>
      <w:r w:rsidRPr="004B3EB9">
        <w:rPr>
          <w:rFonts w:ascii="Times New Roman" w:hAnsi="Times New Roman"/>
          <w:b/>
          <w:bCs/>
          <w:sz w:val="24"/>
          <w:szCs w:val="24"/>
        </w:rPr>
        <w:t>4.</w:t>
      </w:r>
      <w:r w:rsidRPr="004B3EB9">
        <w:rPr>
          <w:rFonts w:ascii="Times New Roman" w:hAnsi="Times New Roman"/>
          <w:b/>
          <w:bCs/>
          <w:sz w:val="24"/>
          <w:szCs w:val="24"/>
        </w:rPr>
        <w:tab/>
        <w:t>KLİNİK ÖZELLİKLER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4.1.</w:t>
      </w:r>
      <w:r w:rsidRPr="004B3EB9">
        <w:rPr>
          <w:rFonts w:ascii="Times New Roman" w:hAnsi="Times New Roman"/>
          <w:b/>
          <w:bCs/>
          <w:sz w:val="24"/>
          <w:szCs w:val="24"/>
        </w:rPr>
        <w:tab/>
        <w:t>Terapötik endikasyonlar</w:t>
      </w:r>
    </w:p>
    <w:p w:rsidR="00396DF1" w:rsidRPr="004B3EB9" w:rsidRDefault="008B5727" w:rsidP="00C86B5D">
      <w:pPr>
        <w:spacing w:after="0"/>
        <w:jc w:val="both"/>
        <w:rPr>
          <w:rFonts w:ascii="Times New Roman" w:hAnsi="Times New Roman"/>
          <w:sz w:val="24"/>
          <w:szCs w:val="24"/>
        </w:rPr>
      </w:pPr>
      <w:r w:rsidRPr="004B3EB9">
        <w:rPr>
          <w:rFonts w:ascii="Times New Roman" w:hAnsi="Times New Roman"/>
          <w:sz w:val="24"/>
          <w:szCs w:val="24"/>
        </w:rPr>
        <w:t>İMATİS</w:t>
      </w:r>
      <w:r w:rsidR="00F54064">
        <w:rPr>
          <w:rFonts w:ascii="Times New Roman" w:hAnsi="Times New Roman"/>
          <w:sz w:val="24"/>
          <w:szCs w:val="24"/>
        </w:rPr>
        <w:t>’</w:t>
      </w:r>
      <w:r w:rsidR="00396DF1" w:rsidRPr="004B3EB9">
        <w:rPr>
          <w:rFonts w:ascii="Times New Roman" w:hAnsi="Times New Roman"/>
          <w:sz w:val="24"/>
          <w:szCs w:val="24"/>
        </w:rPr>
        <w:t xml:space="preserve">in </w:t>
      </w:r>
      <w:r w:rsidR="009E236D" w:rsidRPr="004B3EB9">
        <w:rPr>
          <w:rFonts w:ascii="Times New Roman" w:hAnsi="Times New Roman"/>
          <w:sz w:val="24"/>
          <w:szCs w:val="24"/>
        </w:rPr>
        <w:t>endikasyonları</w:t>
      </w:r>
      <w:r w:rsidR="00396DF1" w:rsidRPr="004B3EB9">
        <w:rPr>
          <w:rFonts w:ascii="Times New Roman" w:hAnsi="Times New Roman"/>
          <w:sz w:val="24"/>
          <w:szCs w:val="24"/>
        </w:rPr>
        <w:t>:</w:t>
      </w:r>
    </w:p>
    <w:p w:rsidR="00396DF1" w:rsidRPr="004B3EB9" w:rsidRDefault="00396DF1"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Yeni tanı konmuş Philadelphia kromozomu pozitif kronik faz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Akselere faz Philadelphia kromozomu pozitif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Blastik faz Philadelphia kromozomu pozitif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Diğer tedavilere dirençli Philadelphia kromozomu pozitif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İlk tanısı Philadelphia kromozomu pozitif kronik miyeloid lösemi (KML) olan ancak tedavi ile Philadelphia kromozomu negatif hale gelen kronik/akselere/blastik faz kronik miyeloid lösemi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Kronik miyeloid lösemili (KML) olan 3 yaş ve üzerindeki çocuklarda birinci basamak tedavide,</w:t>
      </w:r>
    </w:p>
    <w:p w:rsidR="00396DF1" w:rsidRPr="004B3EB9" w:rsidRDefault="00791617" w:rsidP="00C86B5D">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FIP1</w:t>
      </w:r>
      <w:r w:rsidR="00396DF1" w:rsidRPr="004B3EB9">
        <w:rPr>
          <w:rFonts w:ascii="Times New Roman" w:hAnsi="Times New Roman"/>
          <w:sz w:val="24"/>
          <w:szCs w:val="24"/>
        </w:rPr>
        <w:t xml:space="preserve">Ll-PDGFRA füzyon geni laboratuvar incelemeleriyle gösterilen hipereozinofilik </w:t>
      </w:r>
      <w:proofErr w:type="gramStart"/>
      <w:r w:rsidR="00396DF1" w:rsidRPr="004B3EB9">
        <w:rPr>
          <w:rFonts w:ascii="Times New Roman" w:hAnsi="Times New Roman"/>
          <w:sz w:val="24"/>
          <w:szCs w:val="24"/>
        </w:rPr>
        <w:t>sendrom</w:t>
      </w:r>
      <w:proofErr w:type="gramEnd"/>
      <w:r w:rsidR="00396DF1" w:rsidRPr="004B3EB9">
        <w:rPr>
          <w:rFonts w:ascii="Times New Roman" w:hAnsi="Times New Roman"/>
          <w:sz w:val="24"/>
          <w:szCs w:val="24"/>
        </w:rPr>
        <w:t xml:space="preserve"> ve sistemik mastositoz </w:t>
      </w:r>
      <w:r w:rsidR="009E236D" w:rsidRPr="004B3EB9">
        <w:rPr>
          <w:rFonts w:ascii="Times New Roman" w:hAnsi="Times New Roman"/>
          <w:sz w:val="24"/>
          <w:szCs w:val="24"/>
        </w:rPr>
        <w:t>hastaların</w:t>
      </w:r>
      <w:r w:rsidR="00396DF1" w:rsidRPr="004B3EB9">
        <w:rPr>
          <w:rFonts w:ascii="Times New Roman" w:hAnsi="Times New Roman"/>
          <w:sz w:val="24"/>
          <w:szCs w:val="24"/>
        </w:rPr>
        <w:t>da kullanılabilir.</w:t>
      </w:r>
    </w:p>
    <w:p w:rsidR="00E45FE7" w:rsidRDefault="00E45FE7" w:rsidP="00C86B5D">
      <w:pPr>
        <w:spacing w:after="0"/>
        <w:jc w:val="both"/>
        <w:rPr>
          <w:rFonts w:ascii="Times New Roman" w:hAnsi="Times New Roman"/>
          <w:b/>
          <w:bCs/>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4.2</w:t>
      </w:r>
      <w:r w:rsidR="00791617" w:rsidRPr="004B3EB9">
        <w:rPr>
          <w:rFonts w:ascii="Times New Roman" w:hAnsi="Times New Roman"/>
          <w:b/>
          <w:bCs/>
          <w:sz w:val="24"/>
          <w:szCs w:val="24"/>
        </w:rPr>
        <w:t xml:space="preserve"> </w:t>
      </w:r>
      <w:r w:rsidRPr="004B3EB9">
        <w:rPr>
          <w:rFonts w:ascii="Times New Roman" w:hAnsi="Times New Roman"/>
          <w:b/>
          <w:bCs/>
          <w:sz w:val="24"/>
          <w:szCs w:val="24"/>
        </w:rPr>
        <w:t>Pozoloji ve uygulama şekli</w:t>
      </w:r>
    </w:p>
    <w:p w:rsidR="00396DF1" w:rsidRPr="004B3EB9" w:rsidRDefault="00396DF1" w:rsidP="00C86B5D">
      <w:pPr>
        <w:spacing w:after="0"/>
        <w:jc w:val="both"/>
        <w:rPr>
          <w:rFonts w:ascii="Times New Roman" w:hAnsi="Times New Roman"/>
          <w:b/>
          <w:sz w:val="24"/>
          <w:szCs w:val="24"/>
        </w:rPr>
      </w:pPr>
      <w:r w:rsidRPr="004B3EB9">
        <w:rPr>
          <w:rFonts w:ascii="Times New Roman" w:hAnsi="Times New Roman"/>
          <w:b/>
          <w:bCs/>
          <w:sz w:val="24"/>
          <w:szCs w:val="24"/>
        </w:rPr>
        <w:t xml:space="preserve">Pozoloji/uygulama sıklığı </w:t>
      </w:r>
      <w:r w:rsidRPr="004B3EB9">
        <w:rPr>
          <w:rFonts w:ascii="Times New Roman" w:hAnsi="Times New Roman"/>
          <w:b/>
          <w:sz w:val="24"/>
          <w:szCs w:val="24"/>
        </w:rPr>
        <w:t xml:space="preserve">ve </w:t>
      </w:r>
      <w:r w:rsidRPr="004B3EB9">
        <w:rPr>
          <w:rFonts w:ascii="Times New Roman" w:hAnsi="Times New Roman"/>
          <w:b/>
          <w:bCs/>
          <w:sz w:val="24"/>
          <w:szCs w:val="24"/>
        </w:rPr>
        <w:t>süresi: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Tedavi, </w:t>
      </w:r>
      <w:r w:rsidR="00543193" w:rsidRPr="004B3EB9">
        <w:rPr>
          <w:rFonts w:ascii="Times New Roman" w:hAnsi="Times New Roman"/>
          <w:sz w:val="24"/>
          <w:szCs w:val="24"/>
        </w:rPr>
        <w:t xml:space="preserve">KML, HES ve SM </w:t>
      </w:r>
      <w:r w:rsidR="009E236D" w:rsidRPr="004B3EB9">
        <w:rPr>
          <w:rFonts w:ascii="Times New Roman" w:hAnsi="Times New Roman"/>
          <w:sz w:val="24"/>
          <w:szCs w:val="24"/>
        </w:rPr>
        <w:t>hastal</w:t>
      </w:r>
      <w:r w:rsidR="00543193" w:rsidRPr="004B3EB9">
        <w:rPr>
          <w:rFonts w:ascii="Times New Roman" w:hAnsi="Times New Roman"/>
          <w:sz w:val="24"/>
          <w:szCs w:val="24"/>
        </w:rPr>
        <w:t>ıklarının</w:t>
      </w:r>
      <w:r w:rsidRPr="004B3EB9">
        <w:rPr>
          <w:rFonts w:ascii="Times New Roman" w:hAnsi="Times New Roman"/>
          <w:sz w:val="24"/>
          <w:szCs w:val="24"/>
        </w:rPr>
        <w:t xml:space="preserve"> tedavisinde deneyimi olan bir doktor tarafından başlatılmalıdır.</w:t>
      </w:r>
    </w:p>
    <w:p w:rsidR="00F36470" w:rsidRDefault="00E45FE7" w:rsidP="00C86B5D">
      <w:pPr>
        <w:spacing w:after="0"/>
        <w:jc w:val="both"/>
        <w:rPr>
          <w:rFonts w:ascii="Times New Roman" w:hAnsi="Times New Roman"/>
          <w:sz w:val="24"/>
          <w:szCs w:val="24"/>
        </w:rPr>
      </w:pPr>
      <w:r>
        <w:rPr>
          <w:rFonts w:ascii="Times New Roman" w:hAnsi="Times New Roman"/>
          <w:sz w:val="24"/>
          <w:szCs w:val="24"/>
        </w:rPr>
        <w:t>Tedavi, hasta yarar sağladığı sürece devam ettirilmelidir.</w:t>
      </w:r>
    </w:p>
    <w:p w:rsidR="00E45FE7" w:rsidRPr="004B3EB9" w:rsidRDefault="00E45FE7"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Kronik Miyeloid Lösemi de (KML) Dozaj</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Kronik faz KML bulunan hastalar için önerilen </w:t>
      </w:r>
      <w:r w:rsidR="008B5727" w:rsidRPr="004B3EB9">
        <w:rPr>
          <w:rFonts w:ascii="Times New Roman" w:hAnsi="Times New Roman"/>
          <w:sz w:val="24"/>
          <w:szCs w:val="24"/>
        </w:rPr>
        <w:t>İMATİS</w:t>
      </w:r>
      <w:r w:rsidRPr="004B3EB9">
        <w:rPr>
          <w:rFonts w:ascii="Times New Roman" w:hAnsi="Times New Roman"/>
          <w:sz w:val="24"/>
          <w:szCs w:val="24"/>
        </w:rPr>
        <w:t xml:space="preserve"> dozajı 400 mg/gün, hızlanmış faz ya da blast krizi bulunanlar için önerilen dozaj ise 600 mg/gün</w:t>
      </w:r>
      <w:r w:rsidR="00F54064">
        <w:rPr>
          <w:rFonts w:ascii="Times New Roman" w:hAnsi="Times New Roman"/>
          <w:sz w:val="24"/>
          <w:szCs w:val="24"/>
        </w:rPr>
        <w:t>’</w:t>
      </w:r>
      <w:r w:rsidRPr="004B3EB9">
        <w:rPr>
          <w:rFonts w:ascii="Times New Roman" w:hAnsi="Times New Roman"/>
          <w:sz w:val="24"/>
          <w:szCs w:val="24"/>
        </w:rPr>
        <w:t>dür.</w:t>
      </w:r>
    </w:p>
    <w:p w:rsidR="00396DF1" w:rsidRPr="004B3EB9" w:rsidRDefault="00791617" w:rsidP="00C86B5D">
      <w:pPr>
        <w:spacing w:after="0"/>
        <w:jc w:val="both"/>
        <w:rPr>
          <w:rFonts w:ascii="Times New Roman" w:hAnsi="Times New Roman"/>
          <w:sz w:val="24"/>
          <w:szCs w:val="24"/>
        </w:rPr>
      </w:pPr>
      <w:proofErr w:type="gramStart"/>
      <w:r w:rsidRPr="004B3EB9">
        <w:rPr>
          <w:rFonts w:ascii="Times New Roman" w:hAnsi="Times New Roman"/>
          <w:sz w:val="24"/>
          <w:szCs w:val="24"/>
        </w:rPr>
        <w:t>İ</w:t>
      </w:r>
      <w:r w:rsidR="00396DF1" w:rsidRPr="004B3EB9">
        <w:rPr>
          <w:rFonts w:ascii="Times New Roman" w:hAnsi="Times New Roman"/>
          <w:sz w:val="24"/>
          <w:szCs w:val="24"/>
        </w:rPr>
        <w:t xml:space="preserve">laca bağlı oluşan ciddi advers etki ve ağır lösemiyle ilişkili nötropeni veya trombositopeni gelişmemiş olması koşuluyla, hastalığın ilerlemesi (herhangi bir zamanda), en az 6 aylık tedaviden </w:t>
      </w:r>
      <w:r w:rsidR="00396DF1" w:rsidRPr="004B3EB9">
        <w:rPr>
          <w:rFonts w:ascii="Times New Roman" w:hAnsi="Times New Roman"/>
          <w:sz w:val="24"/>
          <w:szCs w:val="24"/>
        </w:rPr>
        <w:lastRenderedPageBreak/>
        <w:t>sonra tatmin edici bir hematolojik yanıt alınamaması, 12 aylık tedaviye rağmen sitogenetik cevap elde edilmemesi veya daha önce elde edilmiş olan hematolojik ve/veya sitogenetik yanıtın kaybolması gibi durumlarda; kronik fazda hastalık bulunanlarda dozun 400 mg</w:t>
      </w:r>
      <w:r w:rsidR="00F54064">
        <w:rPr>
          <w:rFonts w:ascii="Times New Roman" w:hAnsi="Times New Roman"/>
          <w:sz w:val="24"/>
          <w:szCs w:val="24"/>
        </w:rPr>
        <w:t>’</w:t>
      </w:r>
      <w:r w:rsidR="00396DF1" w:rsidRPr="004B3EB9">
        <w:rPr>
          <w:rFonts w:ascii="Times New Roman" w:hAnsi="Times New Roman"/>
          <w:sz w:val="24"/>
          <w:szCs w:val="24"/>
        </w:rPr>
        <w:t>dan 600 mg</w:t>
      </w:r>
      <w:r w:rsidR="00F54064">
        <w:rPr>
          <w:rFonts w:ascii="Times New Roman" w:hAnsi="Times New Roman"/>
          <w:sz w:val="24"/>
          <w:szCs w:val="24"/>
        </w:rPr>
        <w:t>’</w:t>
      </w:r>
      <w:r w:rsidR="00396DF1" w:rsidRPr="004B3EB9">
        <w:rPr>
          <w:rFonts w:ascii="Times New Roman" w:hAnsi="Times New Roman"/>
          <w:sz w:val="24"/>
          <w:szCs w:val="24"/>
        </w:rPr>
        <w:t>a yükseltilmesi, ya da hızlanmış faz veya blast krizi bulunan hastalarda da dozun 600 mg</w:t>
      </w:r>
      <w:r w:rsidR="00F54064">
        <w:rPr>
          <w:rFonts w:ascii="Times New Roman" w:hAnsi="Times New Roman"/>
          <w:sz w:val="24"/>
          <w:szCs w:val="24"/>
        </w:rPr>
        <w:t>’</w:t>
      </w:r>
      <w:r w:rsidR="00396DF1" w:rsidRPr="004B3EB9">
        <w:rPr>
          <w:rFonts w:ascii="Times New Roman" w:hAnsi="Times New Roman"/>
          <w:sz w:val="24"/>
          <w:szCs w:val="24"/>
        </w:rPr>
        <w:t>dan maksimum 800 mg günlük doza yükseltilmesi düşünülebilir.</w:t>
      </w:r>
      <w:proofErr w:type="gramEnd"/>
    </w:p>
    <w:p w:rsidR="00396DF1" w:rsidRPr="004B3EB9" w:rsidRDefault="001E7EC1" w:rsidP="00C86B5D">
      <w:pPr>
        <w:spacing w:after="0"/>
        <w:jc w:val="both"/>
        <w:rPr>
          <w:rFonts w:ascii="Times New Roman" w:hAnsi="Times New Roman"/>
          <w:sz w:val="24"/>
          <w:szCs w:val="24"/>
        </w:rPr>
      </w:pPr>
      <w:r w:rsidRPr="004B3EB9">
        <w:rPr>
          <w:rFonts w:ascii="Times New Roman" w:hAnsi="Times New Roman"/>
          <w:b/>
          <w:bCs/>
          <w:sz w:val="24"/>
          <w:szCs w:val="24"/>
        </w:rPr>
        <w:t xml:space="preserve">Hipereozinofilik </w:t>
      </w:r>
      <w:proofErr w:type="gramStart"/>
      <w:r w:rsidR="00396DF1" w:rsidRPr="004B3EB9">
        <w:rPr>
          <w:rFonts w:ascii="Times New Roman" w:hAnsi="Times New Roman"/>
          <w:b/>
          <w:bCs/>
          <w:sz w:val="24"/>
          <w:szCs w:val="24"/>
        </w:rPr>
        <w:t>sendrom</w:t>
      </w:r>
      <w:proofErr w:type="gramEnd"/>
      <w:r w:rsidRPr="004B3EB9">
        <w:rPr>
          <w:rFonts w:ascii="Times New Roman" w:hAnsi="Times New Roman"/>
          <w:b/>
          <w:bCs/>
          <w:sz w:val="24"/>
          <w:szCs w:val="24"/>
        </w:rPr>
        <w:t xml:space="preserve"> (HES)</w:t>
      </w:r>
      <w:r w:rsidR="00396DF1" w:rsidRPr="004B3EB9">
        <w:rPr>
          <w:rFonts w:ascii="Times New Roman" w:hAnsi="Times New Roman"/>
          <w:b/>
          <w:bCs/>
          <w:sz w:val="24"/>
          <w:szCs w:val="24"/>
        </w:rPr>
        <w:t xml:space="preserve"> ve sistemik mastositozda </w:t>
      </w:r>
      <w:r w:rsidRPr="004B3EB9">
        <w:rPr>
          <w:rFonts w:ascii="Times New Roman" w:hAnsi="Times New Roman"/>
          <w:b/>
          <w:bCs/>
          <w:sz w:val="24"/>
          <w:szCs w:val="24"/>
        </w:rPr>
        <w:t xml:space="preserve">(SM) </w:t>
      </w:r>
      <w:r w:rsidR="00396DF1" w:rsidRPr="004B3EB9">
        <w:rPr>
          <w:rFonts w:ascii="Times New Roman" w:hAnsi="Times New Roman"/>
          <w:b/>
          <w:bCs/>
          <w:sz w:val="24"/>
          <w:szCs w:val="24"/>
        </w:rPr>
        <w:t>dozaj</w:t>
      </w:r>
    </w:p>
    <w:p w:rsidR="00396DF1" w:rsidRPr="004B3EB9" w:rsidRDefault="00BA3D7C" w:rsidP="00C86B5D">
      <w:pPr>
        <w:spacing w:after="0"/>
        <w:jc w:val="both"/>
        <w:rPr>
          <w:rFonts w:ascii="Times New Roman" w:hAnsi="Times New Roman"/>
          <w:sz w:val="24"/>
          <w:szCs w:val="24"/>
        </w:rPr>
      </w:pPr>
      <w:r>
        <w:rPr>
          <w:rFonts w:ascii="Times New Roman" w:hAnsi="Times New Roman"/>
          <w:sz w:val="24"/>
          <w:szCs w:val="24"/>
        </w:rPr>
        <w:t>Yetişkin h</w:t>
      </w:r>
      <w:r w:rsidR="00396DF1" w:rsidRPr="004B3EB9">
        <w:rPr>
          <w:rFonts w:ascii="Times New Roman" w:hAnsi="Times New Roman"/>
          <w:sz w:val="24"/>
          <w:szCs w:val="24"/>
        </w:rPr>
        <w:t xml:space="preserve">ipereozinofilik </w:t>
      </w:r>
      <w:proofErr w:type="gramStart"/>
      <w:r w:rsidR="00396DF1" w:rsidRPr="004B3EB9">
        <w:rPr>
          <w:rFonts w:ascii="Times New Roman" w:hAnsi="Times New Roman"/>
          <w:sz w:val="24"/>
          <w:szCs w:val="24"/>
        </w:rPr>
        <w:t>sendrom</w:t>
      </w:r>
      <w:proofErr w:type="gramEnd"/>
      <w:r w:rsidR="00396DF1" w:rsidRPr="004B3EB9">
        <w:rPr>
          <w:rFonts w:ascii="Times New Roman" w:hAnsi="Times New Roman"/>
          <w:sz w:val="24"/>
          <w:szCs w:val="24"/>
        </w:rPr>
        <w:t xml:space="preserve"> ve sistemik mastositoz </w:t>
      </w:r>
      <w:r w:rsidR="009E236D" w:rsidRPr="004B3EB9">
        <w:rPr>
          <w:rFonts w:ascii="Times New Roman" w:hAnsi="Times New Roman"/>
          <w:sz w:val="24"/>
          <w:szCs w:val="24"/>
        </w:rPr>
        <w:t>hastaların</w:t>
      </w:r>
      <w:r w:rsidR="00396DF1" w:rsidRPr="004B3EB9">
        <w:rPr>
          <w:rFonts w:ascii="Times New Roman" w:hAnsi="Times New Roman"/>
          <w:sz w:val="24"/>
          <w:szCs w:val="24"/>
        </w:rPr>
        <w:t xml:space="preserve">da önerilen </w:t>
      </w:r>
      <w:r w:rsidR="008B5727" w:rsidRPr="004B3EB9">
        <w:rPr>
          <w:rFonts w:ascii="Times New Roman" w:hAnsi="Times New Roman"/>
          <w:sz w:val="24"/>
          <w:szCs w:val="24"/>
        </w:rPr>
        <w:t>İMATİS</w:t>
      </w:r>
      <w:r w:rsidR="00396DF1" w:rsidRPr="004B3EB9">
        <w:rPr>
          <w:rFonts w:ascii="Times New Roman" w:hAnsi="Times New Roman"/>
          <w:sz w:val="24"/>
          <w:szCs w:val="24"/>
        </w:rPr>
        <w:t xml:space="preserve"> dozajı, günde 100 mg</w:t>
      </w:r>
      <w:r w:rsidR="00F54064">
        <w:rPr>
          <w:rFonts w:ascii="Times New Roman" w:hAnsi="Times New Roman"/>
          <w:sz w:val="24"/>
          <w:szCs w:val="24"/>
        </w:rPr>
        <w:t>’</w:t>
      </w:r>
      <w:r w:rsidR="00396DF1" w:rsidRPr="004B3EB9">
        <w:rPr>
          <w:rFonts w:ascii="Times New Roman" w:hAnsi="Times New Roman"/>
          <w:sz w:val="24"/>
          <w:szCs w:val="24"/>
        </w:rPr>
        <w:t>dır. Yanıtsız hallerde 400 mg</w:t>
      </w:r>
      <w:r w:rsidR="00F54064">
        <w:rPr>
          <w:rFonts w:ascii="Times New Roman" w:hAnsi="Times New Roman"/>
          <w:sz w:val="24"/>
          <w:szCs w:val="24"/>
        </w:rPr>
        <w:t>’</w:t>
      </w:r>
      <w:r w:rsidR="00396DF1" w:rsidRPr="004B3EB9">
        <w:rPr>
          <w:rFonts w:ascii="Times New Roman" w:hAnsi="Times New Roman"/>
          <w:sz w:val="24"/>
          <w:szCs w:val="24"/>
        </w:rPr>
        <w:t>a dek çık</w:t>
      </w:r>
      <w:r w:rsidR="00791617" w:rsidRPr="004B3EB9">
        <w:rPr>
          <w:rFonts w:ascii="Times New Roman" w:hAnsi="Times New Roman"/>
          <w:sz w:val="24"/>
          <w:szCs w:val="24"/>
        </w:rPr>
        <w:t>ıl</w:t>
      </w:r>
      <w:r w:rsidR="00396DF1" w:rsidRPr="004B3EB9">
        <w:rPr>
          <w:rFonts w:ascii="Times New Roman" w:hAnsi="Times New Roman"/>
          <w:sz w:val="24"/>
          <w:szCs w:val="24"/>
        </w:rPr>
        <w:t>abilir. Bu doz aşılamaz.</w:t>
      </w:r>
    </w:p>
    <w:p w:rsidR="00396DF1" w:rsidRPr="004B3EB9" w:rsidRDefault="00396DF1" w:rsidP="00C86B5D">
      <w:pPr>
        <w:spacing w:after="0"/>
        <w:jc w:val="both"/>
        <w:rPr>
          <w:rFonts w:ascii="Times New Roman" w:hAnsi="Times New Roman"/>
          <w:sz w:val="24"/>
          <w:szCs w:val="24"/>
        </w:rPr>
      </w:pPr>
    </w:p>
    <w:p w:rsidR="00791617" w:rsidRPr="004B3EB9" w:rsidRDefault="00396DF1" w:rsidP="00C86B5D">
      <w:pPr>
        <w:spacing w:after="0"/>
        <w:jc w:val="both"/>
        <w:rPr>
          <w:rFonts w:ascii="Times New Roman" w:hAnsi="Times New Roman"/>
          <w:b/>
          <w:bCs/>
          <w:sz w:val="24"/>
          <w:szCs w:val="24"/>
          <w:u w:val="single"/>
        </w:rPr>
      </w:pPr>
      <w:r w:rsidRPr="004B3EB9">
        <w:rPr>
          <w:rFonts w:ascii="Times New Roman" w:hAnsi="Times New Roman"/>
          <w:b/>
          <w:bCs/>
          <w:sz w:val="24"/>
          <w:szCs w:val="24"/>
          <w:u w:val="single"/>
        </w:rPr>
        <w:t xml:space="preserve">Advers reaksiyonlar için doz ayarlamaları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Hematolojik olmayan advers reaksiyonlar</w:t>
      </w:r>
    </w:p>
    <w:p w:rsidR="00396DF1" w:rsidRPr="004B3EB9" w:rsidRDefault="009E236D" w:rsidP="00C86B5D">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xml:space="preserve"> kullanıldığında eğer ciddi hematolojik olmayan advers reaksiyon gelişirse, tedavi bu olay ortadan kalkıncaya kadar durdurulmalıdır. Daha sonra, olayın ilk ciddiyetine göre değişecek şekilde tedavi devam ettirilir.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Eğer bilirubin, normal s</w:t>
      </w:r>
      <w:r w:rsidR="00791617" w:rsidRPr="004B3EB9">
        <w:rPr>
          <w:rFonts w:ascii="Times New Roman" w:hAnsi="Times New Roman"/>
          <w:sz w:val="24"/>
          <w:szCs w:val="24"/>
        </w:rPr>
        <w:t xml:space="preserve">ınırın </w:t>
      </w:r>
      <w:r w:rsidR="003A3589" w:rsidRPr="004B3EB9">
        <w:rPr>
          <w:rFonts w:ascii="Times New Roman" w:hAnsi="Times New Roman"/>
          <w:sz w:val="24"/>
          <w:szCs w:val="24"/>
        </w:rPr>
        <w:t>üst limitini (NSÜ</w:t>
      </w:r>
      <w:r w:rsidRPr="004B3EB9">
        <w:rPr>
          <w:rFonts w:ascii="Times New Roman" w:hAnsi="Times New Roman"/>
          <w:sz w:val="24"/>
          <w:szCs w:val="24"/>
        </w:rPr>
        <w:t>L) 3 kattan fazla aşacak şekilde yükselirse ya da karaciğer transaminaz</w:t>
      </w:r>
      <w:r w:rsidR="00791617" w:rsidRPr="004B3EB9">
        <w:rPr>
          <w:rFonts w:ascii="Times New Roman" w:hAnsi="Times New Roman"/>
          <w:sz w:val="24"/>
          <w:szCs w:val="24"/>
        </w:rPr>
        <w:t>ların</w:t>
      </w:r>
      <w:r w:rsidR="003A3589" w:rsidRPr="004B3EB9">
        <w:rPr>
          <w:rFonts w:ascii="Times New Roman" w:hAnsi="Times New Roman"/>
          <w:sz w:val="24"/>
          <w:szCs w:val="24"/>
        </w:rPr>
        <w:t>da NSÜ</w:t>
      </w:r>
      <w:r w:rsidRPr="004B3EB9">
        <w:rPr>
          <w:rFonts w:ascii="Times New Roman" w:hAnsi="Times New Roman"/>
          <w:sz w:val="24"/>
          <w:szCs w:val="24"/>
        </w:rPr>
        <w:t xml:space="preserve">L değerinin 5 katından fazla artış olursa, </w:t>
      </w:r>
      <w:r w:rsidR="009E236D" w:rsidRPr="004B3EB9">
        <w:rPr>
          <w:rFonts w:ascii="Times New Roman" w:hAnsi="Times New Roman"/>
          <w:sz w:val="24"/>
          <w:szCs w:val="24"/>
        </w:rPr>
        <w:t>İMATİS</w:t>
      </w:r>
      <w:r w:rsidRPr="004B3EB9">
        <w:rPr>
          <w:rFonts w:ascii="Times New Roman" w:hAnsi="Times New Roman"/>
          <w:sz w:val="24"/>
          <w:szCs w:val="24"/>
        </w:rPr>
        <w:t xml:space="preserve">, bilirubin düzeyleri &lt; </w:t>
      </w:r>
      <w:proofErr w:type="gramStart"/>
      <w:r w:rsidRPr="004B3EB9">
        <w:rPr>
          <w:rFonts w:ascii="Times New Roman" w:hAnsi="Times New Roman"/>
          <w:sz w:val="24"/>
          <w:szCs w:val="24"/>
        </w:rPr>
        <w:t>1.5</w:t>
      </w:r>
      <w:proofErr w:type="gramEnd"/>
      <w:r w:rsidRPr="004B3EB9">
        <w:rPr>
          <w:rFonts w:ascii="Times New Roman" w:hAnsi="Times New Roman"/>
          <w:sz w:val="24"/>
          <w:szCs w:val="24"/>
        </w:rPr>
        <w:t xml:space="preserve"> x NSÜL ve transaminaz düzeyleri &lt; 2.5 x NSÜL seviyesine ininceye kadar durdurulmalı ve daha sonra da azaltılmış günlük dozlarla devam ettirilmelidir. Yetişkinlerde doz 400 mg</w:t>
      </w:r>
      <w:r w:rsidR="00F54064">
        <w:rPr>
          <w:rFonts w:ascii="Times New Roman" w:hAnsi="Times New Roman"/>
          <w:sz w:val="24"/>
          <w:szCs w:val="24"/>
        </w:rPr>
        <w:t>’</w:t>
      </w:r>
      <w:r w:rsidRPr="004B3EB9">
        <w:rPr>
          <w:rFonts w:ascii="Times New Roman" w:hAnsi="Times New Roman"/>
          <w:sz w:val="24"/>
          <w:szCs w:val="24"/>
        </w:rPr>
        <w:t>dan 300 mg</w:t>
      </w:r>
      <w:r w:rsidR="00F54064">
        <w:rPr>
          <w:rFonts w:ascii="Times New Roman" w:hAnsi="Times New Roman"/>
          <w:sz w:val="24"/>
          <w:szCs w:val="24"/>
        </w:rPr>
        <w:t>’</w:t>
      </w:r>
      <w:r w:rsidRPr="004B3EB9">
        <w:rPr>
          <w:rFonts w:ascii="Times New Roman" w:hAnsi="Times New Roman"/>
          <w:sz w:val="24"/>
          <w:szCs w:val="24"/>
        </w:rPr>
        <w:t>a veya 600 mg</w:t>
      </w:r>
      <w:r w:rsidR="00F54064">
        <w:rPr>
          <w:rFonts w:ascii="Times New Roman" w:hAnsi="Times New Roman"/>
          <w:sz w:val="24"/>
          <w:szCs w:val="24"/>
        </w:rPr>
        <w:t>’</w:t>
      </w:r>
      <w:r w:rsidRPr="004B3EB9">
        <w:rPr>
          <w:rFonts w:ascii="Times New Roman" w:hAnsi="Times New Roman"/>
          <w:sz w:val="24"/>
          <w:szCs w:val="24"/>
        </w:rPr>
        <w:t>dan 400 mg</w:t>
      </w:r>
      <w:r w:rsidR="00F54064">
        <w:rPr>
          <w:rFonts w:ascii="Times New Roman" w:hAnsi="Times New Roman"/>
          <w:sz w:val="24"/>
          <w:szCs w:val="24"/>
        </w:rPr>
        <w:t>’</w:t>
      </w:r>
      <w:r w:rsidRPr="004B3EB9">
        <w:rPr>
          <w:rFonts w:ascii="Times New Roman" w:hAnsi="Times New Roman"/>
          <w:sz w:val="24"/>
          <w:szCs w:val="24"/>
        </w:rPr>
        <w:t>a veya 800 mg</w:t>
      </w:r>
      <w:r w:rsidR="00F54064">
        <w:rPr>
          <w:rFonts w:ascii="Times New Roman" w:hAnsi="Times New Roman"/>
          <w:sz w:val="24"/>
          <w:szCs w:val="24"/>
        </w:rPr>
        <w:t>’</w:t>
      </w:r>
      <w:r w:rsidRPr="004B3EB9">
        <w:rPr>
          <w:rFonts w:ascii="Times New Roman" w:hAnsi="Times New Roman"/>
          <w:sz w:val="24"/>
          <w:szCs w:val="24"/>
        </w:rPr>
        <w:t>dan 600 mg</w:t>
      </w:r>
      <w:r w:rsidR="00F54064">
        <w:rPr>
          <w:rFonts w:ascii="Times New Roman" w:hAnsi="Times New Roman"/>
          <w:sz w:val="24"/>
          <w:szCs w:val="24"/>
        </w:rPr>
        <w:t>’</w:t>
      </w:r>
      <w:r w:rsidRPr="004B3EB9">
        <w:rPr>
          <w:rFonts w:ascii="Times New Roman" w:hAnsi="Times New Roman"/>
          <w:sz w:val="24"/>
          <w:szCs w:val="24"/>
        </w:rPr>
        <w:t>a, çocuklarda ise 260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den 200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e veya 340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den 260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e düşürülmelidir.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Hematolojik advers reaksiyonlar</w:t>
      </w: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Ağır nötropeni ve trombositopeni geliştiği takdirde dozun azaltılması ya da tedavinin kesilmesi aşağıdaki tabloda belirtildiği şekilde düzenlenmelidir.</w:t>
      </w:r>
    </w:p>
    <w:p w:rsidR="00CB617C" w:rsidRPr="004B3EB9" w:rsidRDefault="00CB617C" w:rsidP="00C86B5D">
      <w:pPr>
        <w:spacing w:after="0"/>
        <w:jc w:val="both"/>
        <w:rPr>
          <w:rFonts w:ascii="Times New Roman" w:hAnsi="Times New Roman"/>
          <w:sz w:val="24"/>
          <w:szCs w:val="24"/>
        </w:rPr>
      </w:pPr>
      <w:r w:rsidRPr="004B3EB9">
        <w:rPr>
          <w:rFonts w:ascii="Times New Roman" w:hAnsi="Times New Roman"/>
          <w:b/>
          <w:bCs/>
          <w:sz w:val="24"/>
          <w:szCs w:val="24"/>
        </w:rPr>
        <w:t>Tablo 1 Nötropeni ve trombositopeni için doz ayarlamaları</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2000"/>
        <w:gridCol w:w="4110"/>
      </w:tblGrid>
      <w:tr w:rsidR="00AA7D24" w:rsidRPr="004B3EB9" w:rsidTr="00093DDC">
        <w:tc>
          <w:tcPr>
            <w:tcW w:w="3070" w:type="dxa"/>
          </w:tcPr>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Eozinofili ile ilişkili SM ve</w:t>
            </w:r>
          </w:p>
          <w:p w:rsidR="00AA7D24" w:rsidRPr="004B3EB9" w:rsidRDefault="003A3589" w:rsidP="00C86B5D">
            <w:pPr>
              <w:spacing w:after="0"/>
              <w:jc w:val="both"/>
              <w:rPr>
                <w:rFonts w:ascii="Times New Roman" w:hAnsi="Times New Roman"/>
                <w:sz w:val="20"/>
                <w:szCs w:val="20"/>
              </w:rPr>
            </w:pPr>
            <w:r w:rsidRPr="004B3EB9">
              <w:rPr>
                <w:rFonts w:ascii="Times New Roman" w:hAnsi="Times New Roman"/>
                <w:sz w:val="20"/>
                <w:szCs w:val="20"/>
              </w:rPr>
              <w:t>FI</w:t>
            </w:r>
            <w:r w:rsidR="00AA7D24" w:rsidRPr="004B3EB9">
              <w:rPr>
                <w:rFonts w:ascii="Times New Roman" w:hAnsi="Times New Roman"/>
                <w:sz w:val="20"/>
                <w:szCs w:val="20"/>
              </w:rPr>
              <w:t>P1L1 -PDGFR-alfa füzyon</w:t>
            </w:r>
          </w:p>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kinaz ile birlikte HES</w:t>
            </w:r>
          </w:p>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(başlangıç dozu 100 mg)</w:t>
            </w:r>
          </w:p>
        </w:tc>
        <w:tc>
          <w:tcPr>
            <w:tcW w:w="2000" w:type="dxa"/>
          </w:tcPr>
          <w:p w:rsidR="00CB617C" w:rsidRPr="004B3EB9" w:rsidRDefault="00CB617C" w:rsidP="00C86B5D">
            <w:pPr>
              <w:spacing w:after="0"/>
              <w:jc w:val="both"/>
              <w:rPr>
                <w:rFonts w:ascii="Times New Roman" w:hAnsi="Times New Roman"/>
                <w:sz w:val="20"/>
                <w:szCs w:val="20"/>
              </w:rPr>
            </w:pPr>
            <w:r w:rsidRPr="004B3EB9">
              <w:rPr>
                <w:rFonts w:ascii="Times New Roman" w:hAnsi="Times New Roman"/>
                <w:sz w:val="20"/>
                <w:szCs w:val="20"/>
              </w:rPr>
              <w:t>ANC&lt;1</w:t>
            </w:r>
            <w:r w:rsidR="003A3589"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Pr="004B3EB9">
              <w:rPr>
                <w:rFonts w:ascii="Times New Roman" w:hAnsi="Times New Roman"/>
                <w:sz w:val="20"/>
                <w:szCs w:val="20"/>
              </w:rPr>
              <w:t>/L</w:t>
            </w:r>
          </w:p>
          <w:p w:rsidR="00AA7D24" w:rsidRPr="004B3EB9" w:rsidRDefault="00CB617C" w:rsidP="00C86B5D">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/veya trombosit sayısı &lt; 50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AA7D24" w:rsidRPr="004B3EB9" w:rsidRDefault="00AA7D24" w:rsidP="00C86B5D">
            <w:pPr>
              <w:pStyle w:val="ListeParagraf"/>
              <w:numPr>
                <w:ilvl w:val="0"/>
                <w:numId w:val="11"/>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ANC</w:t>
            </w:r>
            <w:r w:rsidR="003A3589" w:rsidRPr="004B3EB9">
              <w:rPr>
                <w:rFonts w:ascii="Times New Roman" w:hAnsi="Times New Roman"/>
                <w:sz w:val="20"/>
                <w:szCs w:val="20"/>
              </w:rPr>
              <w:t>≥1.5</w:t>
            </w:r>
            <w:r w:rsidR="00CB617C" w:rsidRPr="004B3EB9">
              <w:rPr>
                <w:rFonts w:ascii="Times New Roman" w:hAnsi="Times New Roman"/>
                <w:sz w:val="20"/>
                <w:szCs w:val="20"/>
              </w:rPr>
              <w:t>xl0</w:t>
            </w:r>
            <w:r w:rsidR="00CB617C" w:rsidRPr="004B3EB9">
              <w:rPr>
                <w:rFonts w:ascii="Times New Roman" w:hAnsi="Times New Roman"/>
                <w:sz w:val="20"/>
                <w:szCs w:val="20"/>
                <w:vertAlign w:val="superscript"/>
              </w:rPr>
              <w:t>9</w:t>
            </w:r>
            <w:r w:rsidR="00CB617C" w:rsidRPr="004B3EB9">
              <w:rPr>
                <w:rFonts w:ascii="Times New Roman" w:hAnsi="Times New Roman"/>
                <w:sz w:val="20"/>
                <w:szCs w:val="20"/>
              </w:rPr>
              <w:t>/L ve trombosit sayısı ≥ 75</w:t>
            </w:r>
            <w:r w:rsidRPr="004B3EB9">
              <w:rPr>
                <w:rFonts w:ascii="Times New Roman" w:hAnsi="Times New Roman"/>
                <w:sz w:val="20"/>
                <w:szCs w:val="20"/>
              </w:rPr>
              <w:t>xl0</w:t>
            </w:r>
            <w:r w:rsidRPr="004B3EB9">
              <w:rPr>
                <w:rFonts w:ascii="Times New Roman" w:hAnsi="Times New Roman"/>
                <w:sz w:val="20"/>
                <w:szCs w:val="20"/>
                <w:vertAlign w:val="superscript"/>
              </w:rPr>
              <w:t>9</w:t>
            </w:r>
            <w:r w:rsidRPr="004B3EB9">
              <w:rPr>
                <w:rFonts w:ascii="Times New Roman" w:hAnsi="Times New Roman"/>
                <w:sz w:val="20"/>
                <w:szCs w:val="20"/>
              </w:rPr>
              <w:t>/L oluncaya kadar İMATİS durdurulur.</w:t>
            </w:r>
          </w:p>
          <w:p w:rsidR="0015670F" w:rsidRPr="0015670F" w:rsidRDefault="0015670F" w:rsidP="00C86B5D">
            <w:pPr>
              <w:pStyle w:val="ListeParagraf"/>
              <w:numPr>
                <w:ilvl w:val="0"/>
                <w:numId w:val="13"/>
              </w:numPr>
              <w:tabs>
                <w:tab w:val="left" w:pos="261"/>
              </w:tabs>
              <w:spacing w:after="0"/>
              <w:ind w:left="33" w:firstLine="0"/>
              <w:jc w:val="both"/>
              <w:rPr>
                <w:rFonts w:ascii="Times New Roman" w:hAnsi="Times New Roman"/>
                <w:vanish/>
                <w:sz w:val="20"/>
                <w:szCs w:val="20"/>
              </w:rPr>
            </w:pPr>
          </w:p>
          <w:p w:rsidR="00AA7D24" w:rsidRPr="004B3EB9" w:rsidRDefault="00AA7D24" w:rsidP="00C86B5D">
            <w:pPr>
              <w:pStyle w:val="ListeParagraf"/>
              <w:numPr>
                <w:ilvl w:val="0"/>
                <w:numId w:val="13"/>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İMATİS tedavisine önceki dozda (yani ciddi advers reaksiyon gerçekleşmeden önceki dozda) devam edilir.</w:t>
            </w:r>
          </w:p>
        </w:tc>
      </w:tr>
      <w:tr w:rsidR="00AA7D24" w:rsidRPr="004B3EB9" w:rsidTr="00093DDC">
        <w:trPr>
          <w:trHeight w:val="700"/>
        </w:trPr>
        <w:tc>
          <w:tcPr>
            <w:tcW w:w="3070" w:type="dxa"/>
          </w:tcPr>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Kronik faz KML, SM, HES</w:t>
            </w:r>
          </w:p>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(başlangıç dozu 400 mg)</w:t>
            </w:r>
            <w:r w:rsidRPr="004B3EB9">
              <w:rPr>
                <w:rFonts w:ascii="Times New Roman" w:hAnsi="Times New Roman"/>
                <w:sz w:val="20"/>
                <w:szCs w:val="20"/>
                <w:vertAlign w:val="superscript"/>
              </w:rPr>
              <w:t>b</w:t>
            </w:r>
          </w:p>
        </w:tc>
        <w:tc>
          <w:tcPr>
            <w:tcW w:w="2000" w:type="dxa"/>
          </w:tcPr>
          <w:p w:rsidR="00CB617C" w:rsidRPr="004B3EB9" w:rsidRDefault="00CB617C" w:rsidP="00C86B5D">
            <w:pPr>
              <w:spacing w:after="0"/>
              <w:jc w:val="both"/>
              <w:rPr>
                <w:rFonts w:ascii="Times New Roman" w:hAnsi="Times New Roman"/>
                <w:sz w:val="20"/>
                <w:szCs w:val="20"/>
              </w:rPr>
            </w:pPr>
            <w:r w:rsidRPr="004B3EB9">
              <w:rPr>
                <w:rFonts w:ascii="Times New Roman" w:hAnsi="Times New Roman"/>
                <w:sz w:val="20"/>
                <w:szCs w:val="20"/>
              </w:rPr>
              <w:t>ANC&lt;1</w:t>
            </w:r>
            <w:r w:rsidR="003A3589"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003A3589" w:rsidRPr="004B3EB9">
              <w:rPr>
                <w:rFonts w:ascii="Times New Roman" w:hAnsi="Times New Roman"/>
                <w:sz w:val="20"/>
                <w:szCs w:val="20"/>
              </w:rPr>
              <w:t>/l</w:t>
            </w:r>
          </w:p>
          <w:p w:rsidR="00AA7D24" w:rsidRPr="004B3EB9" w:rsidRDefault="00CB617C" w:rsidP="00C86B5D">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/veya Trombositler &lt; 50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CB617C" w:rsidRPr="004B3EB9" w:rsidRDefault="00CB617C" w:rsidP="00C86B5D">
            <w:pPr>
              <w:pStyle w:val="ListeParagraf"/>
              <w:numPr>
                <w:ilvl w:val="0"/>
                <w:numId w:val="17"/>
              </w:numPr>
              <w:tabs>
                <w:tab w:val="left" w:pos="261"/>
              </w:tabs>
              <w:spacing w:after="0"/>
              <w:ind w:left="33" w:right="33" w:firstLine="0"/>
              <w:jc w:val="both"/>
              <w:rPr>
                <w:rFonts w:ascii="Times New Roman" w:hAnsi="Times New Roman"/>
                <w:sz w:val="20"/>
                <w:szCs w:val="20"/>
              </w:rPr>
            </w:pPr>
            <w:r w:rsidRPr="004B3EB9">
              <w:rPr>
                <w:rFonts w:ascii="Times New Roman" w:hAnsi="Times New Roman"/>
                <w:sz w:val="20"/>
                <w:szCs w:val="20"/>
              </w:rPr>
              <w:t xml:space="preserve">ANC ≥ </w:t>
            </w:r>
            <w:proofErr w:type="gramStart"/>
            <w:r w:rsidRPr="004B3EB9">
              <w:rPr>
                <w:rFonts w:ascii="Times New Roman" w:hAnsi="Times New Roman"/>
                <w:sz w:val="20"/>
                <w:szCs w:val="20"/>
              </w:rPr>
              <w:t>1</w:t>
            </w:r>
            <w:r w:rsidR="003A3589" w:rsidRPr="004B3EB9">
              <w:rPr>
                <w:rFonts w:ascii="Times New Roman" w:hAnsi="Times New Roman"/>
                <w:sz w:val="20"/>
                <w:szCs w:val="20"/>
              </w:rPr>
              <w:t>.</w:t>
            </w:r>
            <w:r w:rsidRPr="004B3EB9">
              <w:rPr>
                <w:rFonts w:ascii="Times New Roman" w:hAnsi="Times New Roman"/>
                <w:sz w:val="20"/>
                <w:szCs w:val="20"/>
              </w:rPr>
              <w:t>5</w:t>
            </w:r>
            <w:proofErr w:type="gramEnd"/>
            <w:r w:rsidRPr="004B3EB9">
              <w:rPr>
                <w:rFonts w:ascii="Times New Roman" w:hAnsi="Times New Roman"/>
                <w:sz w:val="20"/>
                <w:szCs w:val="20"/>
              </w:rPr>
              <w:t xml:space="preserve"> xl0</w:t>
            </w:r>
            <w:r w:rsidRPr="004B3EB9">
              <w:rPr>
                <w:rFonts w:ascii="Times New Roman" w:hAnsi="Times New Roman"/>
                <w:sz w:val="20"/>
                <w:szCs w:val="20"/>
                <w:vertAlign w:val="superscript"/>
              </w:rPr>
              <w:t>9</w:t>
            </w:r>
            <w:r w:rsidRPr="004B3EB9">
              <w:rPr>
                <w:rFonts w:ascii="Times New Roman" w:hAnsi="Times New Roman"/>
                <w:sz w:val="20"/>
                <w:szCs w:val="20"/>
              </w:rPr>
              <w:t>/l ve trombositler ≥ 75 xl0</w:t>
            </w:r>
            <w:r w:rsidRPr="004B3EB9">
              <w:rPr>
                <w:rFonts w:ascii="Times New Roman" w:hAnsi="Times New Roman"/>
                <w:sz w:val="20"/>
                <w:szCs w:val="20"/>
                <w:vertAlign w:val="superscript"/>
              </w:rPr>
              <w:t>9</w:t>
            </w:r>
            <w:r w:rsidRPr="004B3EB9">
              <w:rPr>
                <w:rFonts w:ascii="Times New Roman" w:hAnsi="Times New Roman"/>
                <w:sz w:val="20"/>
                <w:szCs w:val="20"/>
              </w:rPr>
              <w:t xml:space="preserve">/l oluncaya kadar </w:t>
            </w:r>
            <w:r w:rsidR="008B5727" w:rsidRPr="004B3EB9">
              <w:rPr>
                <w:rFonts w:ascii="Times New Roman" w:hAnsi="Times New Roman"/>
                <w:sz w:val="20"/>
                <w:szCs w:val="20"/>
              </w:rPr>
              <w:t>İMATİS</w:t>
            </w:r>
            <w:r w:rsidR="00F54064">
              <w:rPr>
                <w:rFonts w:ascii="Times New Roman" w:hAnsi="Times New Roman"/>
                <w:sz w:val="20"/>
                <w:szCs w:val="20"/>
              </w:rPr>
              <w:t>’</w:t>
            </w:r>
            <w:r w:rsidRPr="004B3EB9">
              <w:rPr>
                <w:rFonts w:ascii="Times New Roman" w:hAnsi="Times New Roman"/>
                <w:sz w:val="20"/>
                <w:szCs w:val="20"/>
              </w:rPr>
              <w:t>i</w:t>
            </w:r>
            <w:r w:rsidR="008158B8" w:rsidRPr="004B3EB9">
              <w:rPr>
                <w:rFonts w:ascii="Times New Roman" w:hAnsi="Times New Roman"/>
                <w:sz w:val="20"/>
                <w:szCs w:val="20"/>
              </w:rPr>
              <w:t xml:space="preserve"> </w:t>
            </w:r>
            <w:r w:rsidRPr="004B3EB9">
              <w:rPr>
                <w:rFonts w:ascii="Times New Roman" w:hAnsi="Times New Roman"/>
                <w:sz w:val="20"/>
                <w:szCs w:val="20"/>
              </w:rPr>
              <w:t>kesin</w:t>
            </w:r>
          </w:p>
          <w:p w:rsidR="00CB617C" w:rsidRPr="004B3EB9" w:rsidRDefault="00CB617C" w:rsidP="00C86B5D">
            <w:pPr>
              <w:pStyle w:val="ListeParagraf"/>
              <w:numPr>
                <w:ilvl w:val="0"/>
                <w:numId w:val="17"/>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 xml:space="preserve">Tedaviye önceki </w:t>
            </w:r>
            <w:r w:rsidR="008B5727" w:rsidRPr="004B3EB9">
              <w:rPr>
                <w:rFonts w:ascii="Times New Roman" w:hAnsi="Times New Roman"/>
                <w:sz w:val="20"/>
                <w:szCs w:val="20"/>
              </w:rPr>
              <w:t>İMATİS</w:t>
            </w:r>
            <w:r w:rsidRPr="004B3EB9">
              <w:rPr>
                <w:rFonts w:ascii="Times New Roman" w:hAnsi="Times New Roman"/>
                <w:sz w:val="20"/>
                <w:szCs w:val="20"/>
              </w:rPr>
              <w:t xml:space="preserve"> dozu ile (ciddi advers reaksiyon gelişmesinden önce) yeniden başlayın </w:t>
            </w:r>
          </w:p>
          <w:p w:rsidR="00AA7D24" w:rsidRPr="004B3EB9" w:rsidRDefault="00CB617C" w:rsidP="00C86B5D">
            <w:pPr>
              <w:pStyle w:val="ListeParagraf"/>
              <w:numPr>
                <w:ilvl w:val="0"/>
                <w:numId w:val="17"/>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ANC &lt; 1.0xl0</w:t>
            </w:r>
            <w:r w:rsidRPr="004B3EB9">
              <w:rPr>
                <w:rFonts w:ascii="Times New Roman" w:hAnsi="Times New Roman"/>
                <w:sz w:val="20"/>
                <w:szCs w:val="20"/>
                <w:vertAlign w:val="superscript"/>
              </w:rPr>
              <w:t>9</w:t>
            </w:r>
            <w:r w:rsidRPr="004B3EB9">
              <w:rPr>
                <w:rFonts w:ascii="Times New Roman" w:hAnsi="Times New Roman"/>
                <w:sz w:val="20"/>
                <w:szCs w:val="20"/>
              </w:rPr>
              <w:t>/l ve/veya trombositler &lt;50xl0</w:t>
            </w:r>
            <w:r w:rsidRPr="004B3EB9">
              <w:rPr>
                <w:rFonts w:ascii="Times New Roman" w:hAnsi="Times New Roman"/>
                <w:sz w:val="20"/>
                <w:szCs w:val="20"/>
                <w:vertAlign w:val="superscript"/>
              </w:rPr>
              <w:t>9</w:t>
            </w:r>
            <w:r w:rsidRPr="004B3EB9">
              <w:rPr>
                <w:rFonts w:ascii="Times New Roman" w:hAnsi="Times New Roman"/>
                <w:sz w:val="20"/>
                <w:szCs w:val="20"/>
              </w:rPr>
              <w:t>/l olacak şekilde olay</w:t>
            </w:r>
            <w:r w:rsidR="008158B8" w:rsidRPr="004B3EB9">
              <w:rPr>
                <w:rFonts w:ascii="Times New Roman" w:hAnsi="Times New Roman"/>
                <w:sz w:val="20"/>
                <w:szCs w:val="20"/>
              </w:rPr>
              <w:t xml:space="preserve"> </w:t>
            </w:r>
            <w:r w:rsidRPr="004B3EB9">
              <w:rPr>
                <w:rFonts w:ascii="Times New Roman" w:hAnsi="Times New Roman"/>
                <w:sz w:val="20"/>
                <w:szCs w:val="20"/>
              </w:rPr>
              <w:t xml:space="preserve">tekrarladığında, 1. basamağı tekrarlayın ve </w:t>
            </w:r>
            <w:r w:rsidR="008B5727" w:rsidRPr="004B3EB9">
              <w:rPr>
                <w:rFonts w:ascii="Times New Roman" w:hAnsi="Times New Roman"/>
                <w:sz w:val="20"/>
                <w:szCs w:val="20"/>
              </w:rPr>
              <w:t>İMATİS</w:t>
            </w:r>
            <w:r w:rsidR="00F54064">
              <w:rPr>
                <w:rFonts w:ascii="Times New Roman" w:hAnsi="Times New Roman"/>
                <w:sz w:val="20"/>
                <w:szCs w:val="20"/>
              </w:rPr>
              <w:t>’</w:t>
            </w:r>
            <w:r w:rsidRPr="004B3EB9">
              <w:rPr>
                <w:rFonts w:ascii="Times New Roman" w:hAnsi="Times New Roman"/>
                <w:sz w:val="20"/>
                <w:szCs w:val="20"/>
              </w:rPr>
              <w:t>e azaltılmış olarak 300 mg</w:t>
            </w:r>
            <w:r w:rsidR="00F54064">
              <w:rPr>
                <w:rFonts w:ascii="Times New Roman" w:hAnsi="Times New Roman"/>
                <w:sz w:val="20"/>
                <w:szCs w:val="20"/>
              </w:rPr>
              <w:t>’</w:t>
            </w:r>
            <w:r w:rsidRPr="004B3EB9">
              <w:rPr>
                <w:rFonts w:ascii="Times New Roman" w:hAnsi="Times New Roman"/>
                <w:sz w:val="20"/>
                <w:szCs w:val="20"/>
              </w:rPr>
              <w:t>lık dozla başlayı</w:t>
            </w:r>
            <w:r w:rsidR="003A3589" w:rsidRPr="004B3EB9">
              <w:rPr>
                <w:rFonts w:ascii="Times New Roman" w:hAnsi="Times New Roman"/>
                <w:sz w:val="20"/>
                <w:szCs w:val="20"/>
              </w:rPr>
              <w:t>n</w:t>
            </w:r>
            <w:r w:rsidR="003A3589" w:rsidRPr="004B3EB9">
              <w:rPr>
                <w:rFonts w:ascii="Times New Roman" w:hAnsi="Times New Roman"/>
                <w:sz w:val="20"/>
                <w:szCs w:val="20"/>
                <w:vertAlign w:val="superscript"/>
              </w:rPr>
              <w:t>d</w:t>
            </w:r>
          </w:p>
        </w:tc>
      </w:tr>
      <w:tr w:rsidR="00AA7D24" w:rsidRPr="004B3EB9" w:rsidTr="00093DDC">
        <w:tc>
          <w:tcPr>
            <w:tcW w:w="3070" w:type="dxa"/>
          </w:tcPr>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Pediyatrik kronik fazda KML (340 mg/m</w:t>
            </w:r>
            <w:r w:rsidRPr="004B3EB9">
              <w:rPr>
                <w:rFonts w:ascii="Times New Roman" w:hAnsi="Times New Roman"/>
                <w:sz w:val="20"/>
                <w:szCs w:val="20"/>
                <w:vertAlign w:val="superscript"/>
              </w:rPr>
              <w:t>2</w:t>
            </w:r>
            <w:r w:rsidRPr="004B3EB9">
              <w:rPr>
                <w:rFonts w:ascii="Times New Roman" w:hAnsi="Times New Roman"/>
                <w:sz w:val="20"/>
                <w:szCs w:val="20"/>
              </w:rPr>
              <w:t xml:space="preserve"> dozda)</w:t>
            </w:r>
          </w:p>
        </w:tc>
        <w:tc>
          <w:tcPr>
            <w:tcW w:w="2000" w:type="dxa"/>
          </w:tcPr>
          <w:p w:rsidR="00CB617C" w:rsidRPr="004B3EB9" w:rsidRDefault="00CB617C" w:rsidP="00C86B5D">
            <w:pPr>
              <w:spacing w:after="0"/>
              <w:jc w:val="both"/>
              <w:rPr>
                <w:rFonts w:ascii="Times New Roman" w:hAnsi="Times New Roman"/>
                <w:sz w:val="20"/>
                <w:szCs w:val="20"/>
              </w:rPr>
            </w:pPr>
            <w:r w:rsidRPr="004B3EB9">
              <w:rPr>
                <w:rFonts w:ascii="Times New Roman" w:hAnsi="Times New Roman"/>
                <w:sz w:val="20"/>
                <w:szCs w:val="20"/>
              </w:rPr>
              <w:t>ANC&lt;1</w:t>
            </w:r>
            <w:r w:rsidR="00600E63"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Pr="004B3EB9">
              <w:rPr>
                <w:rFonts w:ascii="Times New Roman" w:hAnsi="Times New Roman"/>
                <w:sz w:val="20"/>
                <w:szCs w:val="20"/>
              </w:rPr>
              <w:t>/L</w:t>
            </w:r>
          </w:p>
          <w:p w:rsidR="00AA7D24" w:rsidRPr="004B3EB9" w:rsidRDefault="00CB617C" w:rsidP="00C86B5D">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/veya trombosit sayısı &lt; 50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DB5083" w:rsidRPr="004B3EB9" w:rsidRDefault="008158B8" w:rsidP="00C86B5D">
            <w:pPr>
              <w:pStyle w:val="ListeParagraf"/>
              <w:numPr>
                <w:ilvl w:val="0"/>
                <w:numId w:val="14"/>
              </w:numPr>
              <w:tabs>
                <w:tab w:val="left" w:pos="227"/>
              </w:tabs>
              <w:spacing w:after="0"/>
              <w:ind w:left="0" w:firstLine="33"/>
              <w:jc w:val="both"/>
              <w:rPr>
                <w:rFonts w:ascii="Times New Roman" w:hAnsi="Times New Roman"/>
                <w:sz w:val="20"/>
                <w:szCs w:val="20"/>
              </w:rPr>
            </w:pPr>
            <w:r w:rsidRPr="004B3EB9">
              <w:rPr>
                <w:rFonts w:ascii="Times New Roman" w:hAnsi="Times New Roman"/>
                <w:sz w:val="20"/>
                <w:szCs w:val="20"/>
              </w:rPr>
              <w:t>ANC</w:t>
            </w:r>
            <w:r w:rsidR="00600E63" w:rsidRPr="004B3EB9">
              <w:rPr>
                <w:rFonts w:ascii="Times New Roman" w:hAnsi="Times New Roman"/>
                <w:sz w:val="20"/>
                <w:szCs w:val="20"/>
              </w:rPr>
              <w:t>≥1.5</w:t>
            </w:r>
            <w:r w:rsidRPr="004B3EB9">
              <w:rPr>
                <w:rFonts w:ascii="Times New Roman" w:hAnsi="Times New Roman"/>
                <w:sz w:val="20"/>
                <w:szCs w:val="20"/>
              </w:rPr>
              <w:t>xl0</w:t>
            </w:r>
            <w:r w:rsidRPr="004B3EB9">
              <w:rPr>
                <w:rFonts w:ascii="Times New Roman" w:hAnsi="Times New Roman"/>
                <w:sz w:val="20"/>
                <w:szCs w:val="20"/>
                <w:vertAlign w:val="superscript"/>
              </w:rPr>
              <w:t>9</w:t>
            </w:r>
            <w:r w:rsidRPr="004B3EB9">
              <w:rPr>
                <w:rFonts w:ascii="Times New Roman" w:hAnsi="Times New Roman"/>
                <w:sz w:val="20"/>
                <w:szCs w:val="20"/>
              </w:rPr>
              <w:t>/L ve trombosit sayısı ≥ 75xl0</w:t>
            </w:r>
            <w:r w:rsidRPr="004B3EB9">
              <w:rPr>
                <w:rFonts w:ascii="Times New Roman" w:hAnsi="Times New Roman"/>
                <w:sz w:val="20"/>
                <w:szCs w:val="20"/>
                <w:vertAlign w:val="superscript"/>
              </w:rPr>
              <w:t>9</w:t>
            </w:r>
            <w:r w:rsidRPr="004B3EB9">
              <w:rPr>
                <w:rFonts w:ascii="Times New Roman" w:hAnsi="Times New Roman"/>
                <w:sz w:val="20"/>
                <w:szCs w:val="20"/>
              </w:rPr>
              <w:t>/L oluncaya kadar İMATİS durdurulur.</w:t>
            </w:r>
          </w:p>
          <w:p w:rsidR="00DB5083" w:rsidRPr="004B3EB9" w:rsidRDefault="00DB5083" w:rsidP="00C86B5D">
            <w:pPr>
              <w:pStyle w:val="ListeParagraf"/>
              <w:numPr>
                <w:ilvl w:val="0"/>
                <w:numId w:val="14"/>
              </w:numPr>
              <w:tabs>
                <w:tab w:val="left" w:pos="227"/>
              </w:tabs>
              <w:spacing w:after="0"/>
              <w:ind w:left="0" w:firstLine="33"/>
              <w:jc w:val="both"/>
              <w:rPr>
                <w:rFonts w:ascii="Times New Roman" w:hAnsi="Times New Roman"/>
                <w:sz w:val="20"/>
                <w:szCs w:val="20"/>
              </w:rPr>
            </w:pPr>
            <w:r w:rsidRPr="004B3EB9">
              <w:rPr>
                <w:rFonts w:ascii="Times New Roman" w:hAnsi="Times New Roman"/>
                <w:sz w:val="20"/>
                <w:szCs w:val="20"/>
              </w:rPr>
              <w:t>İMATİS tedavisine önceki dozda (yani ciddi advers reaksiyon gerçekleşmeden önceki dozda) devam edilir.</w:t>
            </w:r>
          </w:p>
          <w:p w:rsidR="001227CA" w:rsidRDefault="00DB5083" w:rsidP="00C86B5D">
            <w:pPr>
              <w:pStyle w:val="ListeParagraf"/>
              <w:numPr>
                <w:ilvl w:val="0"/>
                <w:numId w:val="14"/>
              </w:numPr>
              <w:tabs>
                <w:tab w:val="left" w:pos="227"/>
              </w:tabs>
              <w:spacing w:after="0"/>
              <w:ind w:left="0" w:firstLine="33"/>
              <w:jc w:val="both"/>
              <w:rPr>
                <w:rFonts w:ascii="Times New Roman" w:hAnsi="Times New Roman"/>
                <w:sz w:val="20"/>
                <w:szCs w:val="20"/>
              </w:rPr>
            </w:pPr>
            <w:r w:rsidRPr="004B3EB9">
              <w:rPr>
                <w:rFonts w:ascii="Times New Roman" w:hAnsi="Times New Roman"/>
                <w:sz w:val="20"/>
                <w:szCs w:val="20"/>
              </w:rPr>
              <w:t>ANC&lt;1</w:t>
            </w:r>
            <w:r w:rsidR="00600E63"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Pr="004B3EB9">
              <w:rPr>
                <w:rFonts w:ascii="Times New Roman" w:hAnsi="Times New Roman"/>
                <w:sz w:val="20"/>
                <w:szCs w:val="20"/>
              </w:rPr>
              <w:t>/L ve/veya trombosit sayısının</w:t>
            </w:r>
            <w:r w:rsidR="00600E63" w:rsidRPr="004B3EB9">
              <w:rPr>
                <w:rFonts w:ascii="Times New Roman" w:hAnsi="Times New Roman"/>
                <w:sz w:val="20"/>
                <w:szCs w:val="20"/>
              </w:rPr>
              <w:t xml:space="preserve"> &lt; 50</w:t>
            </w:r>
            <w:r w:rsidRPr="004B3EB9">
              <w:rPr>
                <w:rFonts w:ascii="Times New Roman" w:hAnsi="Times New Roman"/>
                <w:sz w:val="20"/>
                <w:szCs w:val="20"/>
              </w:rPr>
              <w:t>xl0</w:t>
            </w:r>
            <w:r w:rsidRPr="004B3EB9">
              <w:rPr>
                <w:rFonts w:ascii="Times New Roman" w:hAnsi="Times New Roman"/>
                <w:sz w:val="20"/>
                <w:szCs w:val="20"/>
                <w:vertAlign w:val="superscript"/>
              </w:rPr>
              <w:t>9</w:t>
            </w:r>
            <w:r w:rsidRPr="004B3EB9">
              <w:rPr>
                <w:rFonts w:ascii="Times New Roman" w:hAnsi="Times New Roman"/>
                <w:sz w:val="20"/>
                <w:szCs w:val="20"/>
              </w:rPr>
              <w:t xml:space="preserve">/L </w:t>
            </w:r>
            <w:r w:rsidR="00600E63" w:rsidRPr="004B3EB9">
              <w:rPr>
                <w:rFonts w:ascii="Times New Roman" w:hAnsi="Times New Roman"/>
                <w:sz w:val="20"/>
                <w:szCs w:val="20"/>
              </w:rPr>
              <w:t xml:space="preserve">olduğu </w:t>
            </w:r>
            <w:r w:rsidRPr="004B3EB9">
              <w:rPr>
                <w:rFonts w:ascii="Times New Roman" w:hAnsi="Times New Roman"/>
                <w:sz w:val="20"/>
                <w:szCs w:val="20"/>
              </w:rPr>
              <w:t xml:space="preserve">durum yinelendiği </w:t>
            </w:r>
            <w:r w:rsidR="002B29C1" w:rsidRPr="004B3EB9">
              <w:rPr>
                <w:rFonts w:ascii="Times New Roman" w:hAnsi="Times New Roman"/>
                <w:sz w:val="20"/>
                <w:szCs w:val="20"/>
              </w:rPr>
              <w:t>tak</w:t>
            </w:r>
            <w:r w:rsidR="002B29C1">
              <w:rPr>
                <w:rFonts w:ascii="Times New Roman" w:hAnsi="Times New Roman"/>
                <w:sz w:val="20"/>
                <w:szCs w:val="20"/>
              </w:rPr>
              <w:t>d</w:t>
            </w:r>
            <w:r w:rsidR="002B29C1" w:rsidRPr="004B3EB9">
              <w:rPr>
                <w:rFonts w:ascii="Times New Roman" w:hAnsi="Times New Roman"/>
                <w:sz w:val="20"/>
                <w:szCs w:val="20"/>
              </w:rPr>
              <w:t>irde</w:t>
            </w:r>
            <w:r w:rsidRPr="004B3EB9">
              <w:rPr>
                <w:rFonts w:ascii="Times New Roman" w:hAnsi="Times New Roman"/>
                <w:sz w:val="20"/>
                <w:szCs w:val="20"/>
              </w:rPr>
              <w:t xml:space="preserve">, 1. </w:t>
            </w:r>
            <w:r w:rsidR="002B29C1">
              <w:rPr>
                <w:rFonts w:ascii="Times New Roman" w:hAnsi="Times New Roman"/>
                <w:sz w:val="20"/>
                <w:szCs w:val="20"/>
              </w:rPr>
              <w:t>a</w:t>
            </w:r>
            <w:r w:rsidR="002B29C1" w:rsidRPr="004B3EB9">
              <w:rPr>
                <w:rFonts w:ascii="Times New Roman" w:hAnsi="Times New Roman"/>
                <w:sz w:val="20"/>
                <w:szCs w:val="20"/>
              </w:rPr>
              <w:t xml:space="preserve">dım </w:t>
            </w:r>
            <w:r w:rsidRPr="004B3EB9">
              <w:rPr>
                <w:rFonts w:ascii="Times New Roman" w:hAnsi="Times New Roman"/>
                <w:sz w:val="20"/>
                <w:szCs w:val="20"/>
              </w:rPr>
              <w:t>yeniden uygulanır ve İMATİS tedavisine doz 260 mg/m</w:t>
            </w:r>
            <w:r w:rsidRPr="004B3EB9">
              <w:rPr>
                <w:rFonts w:ascii="Times New Roman" w:hAnsi="Times New Roman"/>
                <w:sz w:val="20"/>
                <w:szCs w:val="20"/>
                <w:vertAlign w:val="superscript"/>
              </w:rPr>
              <w:t>2</w:t>
            </w:r>
            <w:r w:rsidR="00F54064">
              <w:rPr>
                <w:rFonts w:ascii="Times New Roman" w:hAnsi="Times New Roman"/>
                <w:sz w:val="20"/>
                <w:szCs w:val="20"/>
              </w:rPr>
              <w:t>’</w:t>
            </w:r>
            <w:r w:rsidRPr="004B3EB9">
              <w:rPr>
                <w:rFonts w:ascii="Times New Roman" w:hAnsi="Times New Roman"/>
                <w:sz w:val="20"/>
                <w:szCs w:val="20"/>
              </w:rPr>
              <w:t xml:space="preserve">ye düşülerek </w:t>
            </w:r>
            <w:r w:rsidR="00600E63" w:rsidRPr="004B3EB9">
              <w:rPr>
                <w:rFonts w:ascii="Times New Roman" w:hAnsi="Times New Roman"/>
                <w:sz w:val="20"/>
                <w:szCs w:val="20"/>
              </w:rPr>
              <w:t xml:space="preserve">devam </w:t>
            </w:r>
            <w:r w:rsidRPr="004B3EB9">
              <w:rPr>
                <w:rFonts w:ascii="Times New Roman" w:hAnsi="Times New Roman"/>
                <w:sz w:val="20"/>
                <w:szCs w:val="20"/>
              </w:rPr>
              <w:t>edilir.</w:t>
            </w:r>
          </w:p>
        </w:tc>
      </w:tr>
      <w:tr w:rsidR="00AA7D24" w:rsidRPr="004B3EB9" w:rsidTr="00093DDC">
        <w:tc>
          <w:tcPr>
            <w:tcW w:w="3070" w:type="dxa"/>
          </w:tcPr>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lastRenderedPageBreak/>
              <w:t>Hı</w:t>
            </w:r>
            <w:r w:rsidR="00600E63" w:rsidRPr="004B3EB9">
              <w:rPr>
                <w:rFonts w:ascii="Times New Roman" w:hAnsi="Times New Roman"/>
                <w:sz w:val="20"/>
                <w:szCs w:val="20"/>
              </w:rPr>
              <w:t xml:space="preserve">zlanmış faz KML ve blast krizi </w:t>
            </w:r>
            <w:r w:rsidRPr="004B3EB9">
              <w:rPr>
                <w:rFonts w:ascii="Times New Roman" w:hAnsi="Times New Roman"/>
                <w:sz w:val="20"/>
                <w:szCs w:val="20"/>
              </w:rPr>
              <w:t>(başlangıç dozu 600 mg)</w:t>
            </w:r>
            <w:r w:rsidRPr="004B3EB9">
              <w:rPr>
                <w:rFonts w:ascii="Times New Roman" w:hAnsi="Times New Roman"/>
                <w:sz w:val="20"/>
                <w:szCs w:val="20"/>
                <w:vertAlign w:val="superscript"/>
              </w:rPr>
              <w:t>c</w:t>
            </w:r>
          </w:p>
        </w:tc>
        <w:tc>
          <w:tcPr>
            <w:tcW w:w="2000" w:type="dxa"/>
          </w:tcPr>
          <w:p w:rsidR="00CB617C" w:rsidRPr="004B3EB9" w:rsidRDefault="00600E63" w:rsidP="00C86B5D">
            <w:pPr>
              <w:spacing w:after="0"/>
              <w:jc w:val="both"/>
              <w:rPr>
                <w:rFonts w:ascii="Times New Roman" w:hAnsi="Times New Roman"/>
                <w:sz w:val="20"/>
                <w:szCs w:val="20"/>
              </w:rPr>
            </w:pPr>
            <w:r w:rsidRPr="004B3EB9">
              <w:rPr>
                <w:rFonts w:ascii="Times New Roman" w:hAnsi="Times New Roman"/>
                <w:sz w:val="20"/>
                <w:szCs w:val="20"/>
                <w:vertAlign w:val="superscript"/>
              </w:rPr>
              <w:t>a</w:t>
            </w:r>
            <w:r w:rsidRPr="004B3EB9">
              <w:rPr>
                <w:rFonts w:ascii="Times New Roman" w:hAnsi="Times New Roman"/>
                <w:sz w:val="20"/>
                <w:szCs w:val="20"/>
              </w:rPr>
              <w:t>ANC&lt;</w:t>
            </w:r>
            <w:r w:rsidR="00CB617C" w:rsidRPr="004B3EB9">
              <w:rPr>
                <w:rFonts w:ascii="Times New Roman" w:hAnsi="Times New Roman"/>
                <w:sz w:val="20"/>
                <w:szCs w:val="20"/>
              </w:rPr>
              <w:t>0</w:t>
            </w:r>
            <w:r w:rsidRPr="004B3EB9">
              <w:rPr>
                <w:rFonts w:ascii="Times New Roman" w:hAnsi="Times New Roman"/>
                <w:sz w:val="20"/>
                <w:szCs w:val="20"/>
              </w:rPr>
              <w:t>.5</w:t>
            </w:r>
            <w:r w:rsidR="00CB617C" w:rsidRPr="004B3EB9">
              <w:rPr>
                <w:rFonts w:ascii="Times New Roman" w:hAnsi="Times New Roman"/>
                <w:sz w:val="20"/>
                <w:szCs w:val="20"/>
              </w:rPr>
              <w:t>x10</w:t>
            </w:r>
            <w:r w:rsidR="00CB617C" w:rsidRPr="004B3EB9">
              <w:rPr>
                <w:rFonts w:ascii="Times New Roman" w:hAnsi="Times New Roman"/>
                <w:sz w:val="20"/>
                <w:szCs w:val="20"/>
                <w:vertAlign w:val="superscript"/>
              </w:rPr>
              <w:t>9</w:t>
            </w:r>
            <w:r w:rsidRPr="004B3EB9">
              <w:rPr>
                <w:rFonts w:ascii="Times New Roman" w:hAnsi="Times New Roman"/>
                <w:sz w:val="20"/>
                <w:szCs w:val="20"/>
              </w:rPr>
              <w:t>/l</w:t>
            </w:r>
          </w:p>
          <w:p w:rsidR="00AA7D24" w:rsidRPr="004B3EB9" w:rsidRDefault="00CB617C" w:rsidP="00C86B5D">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 xml:space="preserve">/veya Trombositler &lt; </w:t>
            </w:r>
            <w:r w:rsidR="00600E63" w:rsidRPr="004B3EB9">
              <w:rPr>
                <w:rFonts w:ascii="Times New Roman" w:hAnsi="Times New Roman"/>
                <w:sz w:val="20"/>
                <w:szCs w:val="20"/>
              </w:rPr>
              <w:t>10</w:t>
            </w:r>
            <w:r w:rsidRPr="004B3EB9">
              <w:rPr>
                <w:rFonts w:ascii="Times New Roman" w:hAnsi="Times New Roman"/>
                <w:sz w:val="20"/>
                <w:szCs w:val="20"/>
              </w:rPr>
              <w:t xml:space="preserve">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DB5083" w:rsidRPr="004B3EB9" w:rsidRDefault="00600E63" w:rsidP="00C86B5D">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1. </w:t>
            </w:r>
            <w:r w:rsidR="00DB5083" w:rsidRPr="004B3EB9">
              <w:rPr>
                <w:rFonts w:ascii="Times New Roman" w:hAnsi="Times New Roman"/>
                <w:sz w:val="20"/>
                <w:szCs w:val="20"/>
              </w:rPr>
              <w:t>Sitopeninin lösemiye bağlı olup olmadığını kontrol edin (kemik iliği aspiratı ya da biyopsisi)</w:t>
            </w:r>
          </w:p>
          <w:p w:rsidR="00DB5083" w:rsidRPr="004B3EB9" w:rsidRDefault="00600E63" w:rsidP="00C86B5D">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2. </w:t>
            </w:r>
            <w:r w:rsidR="00DB5083" w:rsidRPr="004B3EB9">
              <w:rPr>
                <w:rFonts w:ascii="Times New Roman" w:hAnsi="Times New Roman"/>
                <w:sz w:val="20"/>
                <w:szCs w:val="20"/>
              </w:rPr>
              <w:t>Eğer sitopeni lökopeniye bağlı değil ise İMATİS dozunu 400 mg</w:t>
            </w:r>
            <w:r w:rsidR="00F54064">
              <w:rPr>
                <w:rFonts w:ascii="Times New Roman" w:hAnsi="Times New Roman"/>
                <w:sz w:val="20"/>
                <w:szCs w:val="20"/>
              </w:rPr>
              <w:t>’</w:t>
            </w:r>
            <w:r w:rsidR="00DB5083" w:rsidRPr="004B3EB9">
              <w:rPr>
                <w:rFonts w:ascii="Times New Roman" w:hAnsi="Times New Roman"/>
                <w:sz w:val="20"/>
                <w:szCs w:val="20"/>
              </w:rPr>
              <w:t>a düşürün</w:t>
            </w:r>
            <w:r w:rsidR="00DB5083" w:rsidRPr="004B3EB9">
              <w:rPr>
                <w:rFonts w:ascii="Times New Roman" w:hAnsi="Times New Roman"/>
                <w:sz w:val="20"/>
                <w:szCs w:val="20"/>
                <w:vertAlign w:val="superscript"/>
              </w:rPr>
              <w:t>b</w:t>
            </w:r>
          </w:p>
          <w:p w:rsidR="00F36470" w:rsidRPr="004B3EB9" w:rsidRDefault="00600E63" w:rsidP="00C86B5D">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3. </w:t>
            </w:r>
            <w:r w:rsidR="00DB5083" w:rsidRPr="004B3EB9">
              <w:rPr>
                <w:rFonts w:ascii="Times New Roman" w:hAnsi="Times New Roman"/>
                <w:sz w:val="20"/>
                <w:szCs w:val="20"/>
              </w:rPr>
              <w:t>Eğer sitopeni 2 hafta devam ederse, dozu 300 mg</w:t>
            </w:r>
            <w:r w:rsidR="00F54064">
              <w:rPr>
                <w:rFonts w:ascii="Times New Roman" w:hAnsi="Times New Roman"/>
                <w:sz w:val="20"/>
                <w:szCs w:val="20"/>
              </w:rPr>
              <w:t>’</w:t>
            </w:r>
            <w:r w:rsidR="00DB5083" w:rsidRPr="004B3EB9">
              <w:rPr>
                <w:rFonts w:ascii="Times New Roman" w:hAnsi="Times New Roman"/>
                <w:sz w:val="20"/>
                <w:szCs w:val="20"/>
              </w:rPr>
              <w:t>a düşürün</w:t>
            </w:r>
            <w:r w:rsidR="00DB5083" w:rsidRPr="004B3EB9">
              <w:rPr>
                <w:rFonts w:ascii="Times New Roman" w:hAnsi="Times New Roman"/>
                <w:sz w:val="20"/>
                <w:szCs w:val="20"/>
                <w:vertAlign w:val="superscript"/>
              </w:rPr>
              <w:t>d</w:t>
            </w:r>
          </w:p>
          <w:p w:rsidR="00DB5083" w:rsidRPr="004B3EB9" w:rsidRDefault="00600E63" w:rsidP="00C86B5D">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4. </w:t>
            </w:r>
            <w:r w:rsidR="00DB5083" w:rsidRPr="004B3EB9">
              <w:rPr>
                <w:rFonts w:ascii="Times New Roman" w:hAnsi="Times New Roman"/>
                <w:sz w:val="20"/>
                <w:szCs w:val="20"/>
              </w:rPr>
              <w:t>Eğer sitopeni 4 hafta devam ederse ve hala lösemiyle ilişkili değil ise ANC</w:t>
            </w:r>
            <w:r w:rsidR="00DB5083" w:rsidRPr="004B3EB9">
              <w:rPr>
                <w:rFonts w:ascii="Times New Roman" w:hAnsi="Times New Roman"/>
                <w:sz w:val="20"/>
                <w:szCs w:val="20"/>
              </w:rPr>
              <w:br/>
              <w:t>≥ 1 x 10</w:t>
            </w:r>
            <w:r w:rsidR="00DB5083" w:rsidRPr="004B3EB9">
              <w:rPr>
                <w:rFonts w:ascii="Times New Roman" w:hAnsi="Times New Roman"/>
                <w:sz w:val="20"/>
                <w:szCs w:val="20"/>
                <w:vertAlign w:val="superscript"/>
              </w:rPr>
              <w:t>9</w:t>
            </w:r>
            <w:r w:rsidR="00DB5083" w:rsidRPr="004B3EB9">
              <w:rPr>
                <w:rFonts w:ascii="Times New Roman" w:hAnsi="Times New Roman"/>
                <w:sz w:val="20"/>
                <w:szCs w:val="20"/>
              </w:rPr>
              <w:t>/l ve trombositler ≥ 20 x 10</w:t>
            </w:r>
            <w:r w:rsidR="00DB5083" w:rsidRPr="004B3EB9">
              <w:rPr>
                <w:rFonts w:ascii="Times New Roman" w:hAnsi="Times New Roman"/>
                <w:sz w:val="20"/>
                <w:szCs w:val="20"/>
                <w:vertAlign w:val="superscript"/>
              </w:rPr>
              <w:t>9</w:t>
            </w:r>
            <w:r w:rsidR="00DB5083" w:rsidRPr="004B3EB9">
              <w:rPr>
                <w:rFonts w:ascii="Times New Roman" w:hAnsi="Times New Roman"/>
                <w:sz w:val="20"/>
                <w:szCs w:val="20"/>
              </w:rPr>
              <w:t>/l oluncaya kadar İMATİS</w:t>
            </w:r>
            <w:r w:rsidR="00F54064">
              <w:rPr>
                <w:rFonts w:ascii="Times New Roman" w:hAnsi="Times New Roman"/>
                <w:sz w:val="20"/>
                <w:szCs w:val="20"/>
              </w:rPr>
              <w:t>’</w:t>
            </w:r>
            <w:r w:rsidR="00DB5083" w:rsidRPr="004B3EB9">
              <w:rPr>
                <w:rFonts w:ascii="Times New Roman" w:hAnsi="Times New Roman"/>
                <w:sz w:val="20"/>
                <w:szCs w:val="20"/>
              </w:rPr>
              <w:t>i durdurun ve daha sonra 300 mg ile tedaviye başlayın</w:t>
            </w:r>
            <w:r w:rsidR="00DB5083" w:rsidRPr="004B3EB9">
              <w:rPr>
                <w:rFonts w:ascii="Times New Roman" w:hAnsi="Times New Roman"/>
                <w:sz w:val="20"/>
                <w:szCs w:val="20"/>
                <w:vertAlign w:val="superscript"/>
              </w:rPr>
              <w:t>d</w:t>
            </w:r>
          </w:p>
        </w:tc>
      </w:tr>
      <w:tr w:rsidR="00AA7D24" w:rsidRPr="004B3EB9" w:rsidTr="00093DDC">
        <w:tc>
          <w:tcPr>
            <w:tcW w:w="9180" w:type="dxa"/>
            <w:gridSpan w:val="3"/>
          </w:tcPr>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rPr>
              <w:t>ANC = mutlak nötrof</w:t>
            </w:r>
            <w:r w:rsidR="00600E63" w:rsidRPr="004B3EB9">
              <w:rPr>
                <w:rFonts w:ascii="Times New Roman" w:hAnsi="Times New Roman"/>
                <w:sz w:val="20"/>
                <w:szCs w:val="20"/>
              </w:rPr>
              <w:t>i</w:t>
            </w:r>
            <w:r w:rsidRPr="004B3EB9">
              <w:rPr>
                <w:rFonts w:ascii="Times New Roman" w:hAnsi="Times New Roman"/>
                <w:sz w:val="20"/>
                <w:szCs w:val="20"/>
              </w:rPr>
              <w:t xml:space="preserve">l sayısı </w:t>
            </w:r>
          </w:p>
          <w:p w:rsidR="00AA7D24" w:rsidRPr="004B3EB9" w:rsidRDefault="00AA7D24" w:rsidP="00C86B5D">
            <w:pPr>
              <w:spacing w:after="0"/>
              <w:jc w:val="both"/>
              <w:rPr>
                <w:rFonts w:ascii="Times New Roman" w:hAnsi="Times New Roman"/>
                <w:sz w:val="20"/>
                <w:szCs w:val="20"/>
              </w:rPr>
            </w:pPr>
            <w:r w:rsidRPr="004B3EB9">
              <w:rPr>
                <w:rFonts w:ascii="Times New Roman" w:hAnsi="Times New Roman"/>
                <w:sz w:val="20"/>
                <w:szCs w:val="20"/>
                <w:vertAlign w:val="superscript"/>
              </w:rPr>
              <w:t>a</w:t>
            </w:r>
            <w:r w:rsidRPr="004B3EB9">
              <w:rPr>
                <w:rFonts w:ascii="Times New Roman" w:hAnsi="Times New Roman"/>
                <w:sz w:val="20"/>
                <w:szCs w:val="20"/>
              </w:rPr>
              <w:t>en az 1 aylık tedaviden sonra ortaya çıkan</w:t>
            </w:r>
          </w:p>
          <w:p w:rsidR="00FA40FF" w:rsidRPr="004B3EB9" w:rsidRDefault="00AA7D24" w:rsidP="00C86B5D">
            <w:pPr>
              <w:spacing w:after="0"/>
              <w:jc w:val="both"/>
              <w:rPr>
                <w:rFonts w:ascii="Times New Roman" w:hAnsi="Times New Roman"/>
                <w:sz w:val="20"/>
                <w:szCs w:val="20"/>
                <w:vertAlign w:val="superscript"/>
              </w:rPr>
            </w:pPr>
            <w:proofErr w:type="gramStart"/>
            <w:r w:rsidRPr="004B3EB9">
              <w:rPr>
                <w:rFonts w:ascii="Times New Roman" w:hAnsi="Times New Roman"/>
                <w:sz w:val="20"/>
                <w:szCs w:val="20"/>
                <w:vertAlign w:val="superscript"/>
              </w:rPr>
              <w:t>b</w:t>
            </w:r>
            <w:proofErr w:type="gramEnd"/>
            <w:r w:rsidRPr="004B3EB9">
              <w:rPr>
                <w:rFonts w:ascii="Times New Roman" w:hAnsi="Times New Roman"/>
                <w:sz w:val="20"/>
                <w:szCs w:val="20"/>
              </w:rPr>
              <w:t xml:space="preserve"> veya çocuklarda 260 mg/m</w:t>
            </w:r>
            <w:r w:rsidRPr="004B3EB9">
              <w:rPr>
                <w:rFonts w:ascii="Times New Roman" w:hAnsi="Times New Roman"/>
                <w:sz w:val="20"/>
                <w:szCs w:val="20"/>
                <w:vertAlign w:val="superscript"/>
              </w:rPr>
              <w:t>2</w:t>
            </w:r>
          </w:p>
          <w:p w:rsidR="00600E63" w:rsidRPr="004B3EB9" w:rsidRDefault="00AA7D24" w:rsidP="00C86B5D">
            <w:pPr>
              <w:spacing w:after="0"/>
              <w:jc w:val="both"/>
              <w:rPr>
                <w:rFonts w:ascii="Times New Roman" w:hAnsi="Times New Roman"/>
                <w:sz w:val="20"/>
                <w:szCs w:val="20"/>
              </w:rPr>
            </w:pPr>
            <w:proofErr w:type="gramStart"/>
            <w:r w:rsidRPr="004B3EB9">
              <w:rPr>
                <w:rFonts w:ascii="Times New Roman" w:hAnsi="Times New Roman"/>
                <w:iCs/>
                <w:sz w:val="20"/>
                <w:szCs w:val="20"/>
                <w:vertAlign w:val="superscript"/>
              </w:rPr>
              <w:t>c</w:t>
            </w:r>
            <w:proofErr w:type="gramEnd"/>
            <w:r w:rsidRPr="004B3EB9">
              <w:rPr>
                <w:rFonts w:ascii="Times New Roman" w:hAnsi="Times New Roman"/>
                <w:iCs/>
                <w:sz w:val="20"/>
                <w:szCs w:val="20"/>
              </w:rPr>
              <w:t xml:space="preserve"> </w:t>
            </w:r>
            <w:r w:rsidRPr="004B3EB9">
              <w:rPr>
                <w:rFonts w:ascii="Times New Roman" w:hAnsi="Times New Roman"/>
                <w:sz w:val="20"/>
                <w:szCs w:val="20"/>
              </w:rPr>
              <w:t>veya çocuklarda 340 mg/m</w:t>
            </w:r>
            <w:r w:rsidR="00600E63" w:rsidRPr="004B3EB9">
              <w:rPr>
                <w:rFonts w:ascii="Times New Roman" w:hAnsi="Times New Roman"/>
                <w:sz w:val="20"/>
                <w:szCs w:val="20"/>
                <w:vertAlign w:val="superscript"/>
              </w:rPr>
              <w:t>2</w:t>
            </w:r>
          </w:p>
          <w:p w:rsidR="00AA7D24" w:rsidRPr="004B3EB9" w:rsidRDefault="00AA7D24" w:rsidP="00C86B5D">
            <w:pPr>
              <w:spacing w:after="0"/>
              <w:jc w:val="both"/>
              <w:rPr>
                <w:rFonts w:ascii="Times New Roman" w:hAnsi="Times New Roman"/>
                <w:sz w:val="20"/>
                <w:szCs w:val="20"/>
              </w:rPr>
            </w:pPr>
            <w:proofErr w:type="gramStart"/>
            <w:r w:rsidRPr="004B3EB9">
              <w:rPr>
                <w:rFonts w:ascii="Times New Roman" w:hAnsi="Times New Roman"/>
                <w:sz w:val="20"/>
                <w:szCs w:val="20"/>
                <w:vertAlign w:val="superscript"/>
              </w:rPr>
              <w:t>d</w:t>
            </w:r>
            <w:proofErr w:type="gramEnd"/>
            <w:r w:rsidRPr="004B3EB9">
              <w:rPr>
                <w:rFonts w:ascii="Times New Roman" w:hAnsi="Times New Roman"/>
                <w:sz w:val="20"/>
                <w:szCs w:val="20"/>
              </w:rPr>
              <w:t xml:space="preserve"> veya çocuklarda 200 mg/m</w:t>
            </w:r>
            <w:r w:rsidRPr="004B3EB9">
              <w:rPr>
                <w:rFonts w:ascii="Times New Roman" w:hAnsi="Times New Roman"/>
                <w:sz w:val="20"/>
                <w:szCs w:val="20"/>
                <w:vertAlign w:val="superscript"/>
              </w:rPr>
              <w:t>2</w:t>
            </w:r>
          </w:p>
        </w:tc>
      </w:tr>
    </w:tbl>
    <w:p w:rsidR="00AA7D24" w:rsidRPr="004B3EB9" w:rsidRDefault="00AA7D24"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Uygulama şekli:</w:t>
      </w: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Reçetedeki doz</w:t>
      </w:r>
      <w:r w:rsidR="00C25BF1">
        <w:rPr>
          <w:rFonts w:ascii="Times New Roman" w:hAnsi="Times New Roman"/>
          <w:sz w:val="24"/>
          <w:szCs w:val="24"/>
        </w:rPr>
        <w:t>, gastrointestinal etkileri en aza indirmek için</w:t>
      </w:r>
      <w:r w:rsidRPr="004B3EB9">
        <w:rPr>
          <w:rFonts w:ascii="Times New Roman" w:hAnsi="Times New Roman"/>
          <w:sz w:val="24"/>
          <w:szCs w:val="24"/>
        </w:rPr>
        <w:t xml:space="preserve"> yemek sıras</w:t>
      </w:r>
      <w:r w:rsidR="00DB5083" w:rsidRPr="004B3EB9">
        <w:rPr>
          <w:rFonts w:ascii="Times New Roman" w:hAnsi="Times New Roman"/>
          <w:sz w:val="24"/>
          <w:szCs w:val="24"/>
        </w:rPr>
        <w:t>ın</w:t>
      </w:r>
      <w:r w:rsidRPr="004B3EB9">
        <w:rPr>
          <w:rFonts w:ascii="Times New Roman" w:hAnsi="Times New Roman"/>
          <w:sz w:val="24"/>
          <w:szCs w:val="24"/>
        </w:rPr>
        <w:t>da ve büyük bir bardak suyla yutulmalıdır. Günde 400 veya 600 miligramlık dozlar bir defada</w:t>
      </w:r>
      <w:r w:rsidR="00404381">
        <w:rPr>
          <w:rFonts w:ascii="Times New Roman" w:hAnsi="Times New Roman"/>
          <w:sz w:val="24"/>
          <w:szCs w:val="24"/>
        </w:rPr>
        <w:t>,</w:t>
      </w:r>
      <w:r w:rsidR="00404381" w:rsidRPr="004B3EB9">
        <w:rPr>
          <w:rFonts w:ascii="Times New Roman" w:hAnsi="Times New Roman"/>
          <w:sz w:val="24"/>
          <w:szCs w:val="24"/>
        </w:rPr>
        <w:t xml:space="preserve"> </w:t>
      </w:r>
      <w:r w:rsidRPr="004B3EB9">
        <w:rPr>
          <w:rFonts w:ascii="Times New Roman" w:hAnsi="Times New Roman"/>
          <w:sz w:val="24"/>
          <w:szCs w:val="24"/>
        </w:rPr>
        <w:t>800 miligramlık ise her birinde 400</w:t>
      </w:r>
      <w:r w:rsidR="00F54064">
        <w:rPr>
          <w:rFonts w:ascii="Times New Roman" w:hAnsi="Times New Roman"/>
          <w:sz w:val="24"/>
          <w:szCs w:val="24"/>
        </w:rPr>
        <w:t>’</w:t>
      </w:r>
      <w:r w:rsidRPr="004B3EB9">
        <w:rPr>
          <w:rFonts w:ascii="Times New Roman" w:hAnsi="Times New Roman"/>
          <w:sz w:val="24"/>
          <w:szCs w:val="24"/>
        </w:rPr>
        <w:t>er miligram olmak üzere sabah ve akşam iki bölümde alınmalıdır.</w:t>
      </w:r>
    </w:p>
    <w:p w:rsidR="00C25BF1" w:rsidRPr="004B3EB9" w:rsidRDefault="00C25BF1"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Film-kaplı tabletleri yutamayan hastalarda tablet, bir bardak suda veya elma suyunda dağıtılabilir</w:t>
      </w:r>
      <w:r w:rsidR="00C25BF1">
        <w:rPr>
          <w:rFonts w:ascii="Times New Roman" w:hAnsi="Times New Roman"/>
          <w:sz w:val="24"/>
          <w:szCs w:val="24"/>
        </w:rPr>
        <w:t>.</w:t>
      </w:r>
      <w:r w:rsidRPr="004B3EB9">
        <w:rPr>
          <w:rFonts w:ascii="Times New Roman" w:hAnsi="Times New Roman"/>
          <w:sz w:val="24"/>
          <w:szCs w:val="24"/>
        </w:rPr>
        <w:t xml:space="preserve"> </w:t>
      </w:r>
      <w:r w:rsidR="00C25BF1">
        <w:rPr>
          <w:rFonts w:ascii="Times New Roman" w:hAnsi="Times New Roman"/>
          <w:sz w:val="24"/>
          <w:szCs w:val="24"/>
        </w:rPr>
        <w:t>İ</w:t>
      </w:r>
      <w:r w:rsidR="00C25BF1" w:rsidRPr="004B3EB9">
        <w:rPr>
          <w:rFonts w:ascii="Times New Roman" w:hAnsi="Times New Roman"/>
          <w:sz w:val="24"/>
          <w:szCs w:val="24"/>
        </w:rPr>
        <w:t xml:space="preserve">htiyaç </w:t>
      </w:r>
      <w:r w:rsidRPr="004B3EB9">
        <w:rPr>
          <w:rFonts w:ascii="Times New Roman" w:hAnsi="Times New Roman"/>
          <w:sz w:val="24"/>
          <w:szCs w:val="24"/>
        </w:rPr>
        <w:t>duyulan sayıda tablet, uygun hacimde içeceğin (100 miligramlık tablet için yaklaşık 50, 400 miligramlık tablet için yaklaşık 200 mL) içerisine konarak bir kaşıkla karıştırılır. Meydana gelen süspansiyon, tablet(ler)in tam olarak dağılmasından sonra derhal içilmelidir.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 xml:space="preserve">Özel </w:t>
      </w:r>
      <w:proofErr w:type="gramStart"/>
      <w:r w:rsidRPr="004B3EB9">
        <w:rPr>
          <w:rFonts w:ascii="Times New Roman" w:hAnsi="Times New Roman"/>
          <w:b/>
          <w:bCs/>
          <w:sz w:val="24"/>
          <w:szCs w:val="24"/>
        </w:rPr>
        <w:t>popülasyonlara</w:t>
      </w:r>
      <w:proofErr w:type="gramEnd"/>
      <w:r w:rsidRPr="004B3EB9">
        <w:rPr>
          <w:rFonts w:ascii="Times New Roman" w:hAnsi="Times New Roman"/>
          <w:b/>
          <w:bCs/>
          <w:sz w:val="24"/>
          <w:szCs w:val="24"/>
        </w:rPr>
        <w:t xml:space="preserve"> ilişkin ek bilgiler: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Karaciğer yetmezliği</w:t>
      </w:r>
      <w:r w:rsidRPr="004B3EB9">
        <w:rPr>
          <w:rFonts w:ascii="Times New Roman" w:hAnsi="Times New Roman"/>
          <w:sz w:val="24"/>
          <w:szCs w:val="24"/>
        </w:rPr>
        <w:t>:</w:t>
      </w:r>
    </w:p>
    <w:p w:rsidR="00396DF1" w:rsidRPr="004B3EB9" w:rsidRDefault="00DB5083" w:rsidP="00C86B5D">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 xml:space="preserve">matinib, temel olarak karaciğer yoluyla metabolize olur. Hafif, orta şiddette veya şiddetli karaciğer fonksiyon bozukluğu olan hastalara, önerilen minimal doz olan günde 400 mg verilmelidir. Bu doz, tolere edilemediği takdirde azaltılabilir (bkz. bölüm </w:t>
      </w:r>
      <w:proofErr w:type="gramStart"/>
      <w:r w:rsidR="00396DF1" w:rsidRPr="004B3EB9">
        <w:rPr>
          <w:rFonts w:ascii="Times New Roman" w:hAnsi="Times New Roman"/>
          <w:sz w:val="24"/>
          <w:szCs w:val="24"/>
        </w:rPr>
        <w:t>4.4</w:t>
      </w:r>
      <w:proofErr w:type="gramEnd"/>
      <w:r w:rsidR="00396DF1" w:rsidRPr="004B3EB9">
        <w:rPr>
          <w:rFonts w:ascii="Times New Roman" w:hAnsi="Times New Roman"/>
          <w:sz w:val="24"/>
          <w:szCs w:val="24"/>
        </w:rPr>
        <w:t xml:space="preserve"> Özel kullanım </w:t>
      </w:r>
      <w:r w:rsidR="00600E63" w:rsidRPr="004B3EB9">
        <w:rPr>
          <w:rFonts w:ascii="Times New Roman" w:hAnsi="Times New Roman"/>
          <w:sz w:val="24"/>
          <w:szCs w:val="24"/>
        </w:rPr>
        <w:t>uyarı</w:t>
      </w:r>
      <w:r w:rsidR="008B5727" w:rsidRPr="004B3EB9">
        <w:rPr>
          <w:rFonts w:ascii="Times New Roman" w:hAnsi="Times New Roman"/>
          <w:sz w:val="24"/>
          <w:szCs w:val="24"/>
        </w:rPr>
        <w:t>ları</w:t>
      </w:r>
      <w:r w:rsidR="00396DF1" w:rsidRPr="004B3EB9">
        <w:rPr>
          <w:rFonts w:ascii="Times New Roman" w:hAnsi="Times New Roman"/>
          <w:sz w:val="24"/>
          <w:szCs w:val="24"/>
        </w:rPr>
        <w:t xml:space="preserve"> ve önlemleri, 4.8 İstenmeyen etkiler, 5.1 Farmakodinamik özellikler ve 5.2 Farmakokinetik özellikler).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Böbrek yetmezliği</w:t>
      </w:r>
      <w:r w:rsidRPr="004B3EB9">
        <w:rPr>
          <w:rFonts w:ascii="Times New Roman" w:hAnsi="Times New Roman"/>
          <w:sz w:val="24"/>
          <w:szCs w:val="24"/>
        </w:rPr>
        <w:t>:</w:t>
      </w:r>
    </w:p>
    <w:p w:rsidR="00F3186B" w:rsidRPr="004B3EB9" w:rsidRDefault="00DB5083" w:rsidP="00C86B5D">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ve metabolitleri böbrek yoluyla önemli miktarda atılmazlar. </w:t>
      </w:r>
      <w:r w:rsidR="00DE3B67">
        <w:rPr>
          <w:rFonts w:ascii="Times New Roman" w:hAnsi="Times New Roman"/>
          <w:sz w:val="24"/>
          <w:szCs w:val="24"/>
        </w:rPr>
        <w:t>Böbrek yetmezliği olan veya diyaliz uygulanan hastalara böbrek bozukluğu başlangıç dozu olarak, önerilen minimum doz, günlük 400 mg verilebilir.</w:t>
      </w:r>
      <w:r w:rsidR="00396DF1" w:rsidRPr="004B3EB9">
        <w:rPr>
          <w:rFonts w:ascii="Times New Roman" w:hAnsi="Times New Roman"/>
          <w:sz w:val="24"/>
          <w:szCs w:val="24"/>
        </w:rPr>
        <w:t xml:space="preserve"> Bununla birlikte, bu hastalarda dikkatli olunması önerilir. Tolere edilememesi halinde doz azaltılabilir ya da etki görülmemesi halinde doz arttırılabilir (bkz </w:t>
      </w:r>
      <w:proofErr w:type="gramStart"/>
      <w:r w:rsidR="00396DF1" w:rsidRPr="004B3EB9">
        <w:rPr>
          <w:rFonts w:ascii="Times New Roman" w:hAnsi="Times New Roman"/>
          <w:sz w:val="24"/>
          <w:szCs w:val="24"/>
        </w:rPr>
        <w:t>4.4</w:t>
      </w:r>
      <w:proofErr w:type="gramEnd"/>
      <w:r w:rsidR="00396DF1" w:rsidRPr="004B3EB9">
        <w:rPr>
          <w:rFonts w:ascii="Times New Roman" w:hAnsi="Times New Roman"/>
          <w:sz w:val="24"/>
          <w:szCs w:val="24"/>
        </w:rPr>
        <w:t xml:space="preserve"> Özel kullanım </w:t>
      </w:r>
      <w:r w:rsidR="000646A4" w:rsidRPr="004B3EB9">
        <w:rPr>
          <w:rFonts w:ascii="Times New Roman" w:hAnsi="Times New Roman"/>
          <w:sz w:val="24"/>
          <w:szCs w:val="24"/>
        </w:rPr>
        <w:t>uyarı</w:t>
      </w:r>
      <w:r w:rsidR="008B5727" w:rsidRPr="004B3EB9">
        <w:rPr>
          <w:rFonts w:ascii="Times New Roman" w:hAnsi="Times New Roman"/>
          <w:sz w:val="24"/>
          <w:szCs w:val="24"/>
        </w:rPr>
        <w:t>ları</w:t>
      </w:r>
      <w:r w:rsidR="00396DF1" w:rsidRPr="004B3EB9">
        <w:rPr>
          <w:rFonts w:ascii="Times New Roman" w:hAnsi="Times New Roman"/>
          <w:sz w:val="24"/>
          <w:szCs w:val="24"/>
        </w:rPr>
        <w:t xml:space="preserve"> ve önlemleri).</w:t>
      </w:r>
    </w:p>
    <w:p w:rsidR="005739A4" w:rsidRDefault="005739A4" w:rsidP="00C86B5D">
      <w:pPr>
        <w:spacing w:after="0"/>
        <w:jc w:val="both"/>
        <w:rPr>
          <w:rFonts w:ascii="Times New Roman" w:hAnsi="Times New Roman"/>
          <w:b/>
          <w:bCs/>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 xml:space="preserve">Pediyatrik </w:t>
      </w:r>
      <w:proofErr w:type="gramStart"/>
      <w:r w:rsidRPr="004B3EB9">
        <w:rPr>
          <w:rFonts w:ascii="Times New Roman" w:hAnsi="Times New Roman"/>
          <w:b/>
          <w:bCs/>
          <w:sz w:val="24"/>
          <w:szCs w:val="24"/>
        </w:rPr>
        <w:t>popülasyon</w:t>
      </w:r>
      <w:proofErr w:type="gramEnd"/>
      <w:r w:rsidRPr="004B3EB9">
        <w:rPr>
          <w:rFonts w:ascii="Times New Roman" w:hAnsi="Times New Roman"/>
          <w:sz w:val="24"/>
          <w:szCs w:val="24"/>
        </w:rPr>
        <w:t>:</w:t>
      </w:r>
    </w:p>
    <w:p w:rsidR="00396DF1" w:rsidRDefault="008B5727" w:rsidP="00C86B5D">
      <w:pPr>
        <w:spacing w:after="0"/>
        <w:jc w:val="both"/>
        <w:rPr>
          <w:rFonts w:ascii="Times New Roman" w:hAnsi="Times New Roman"/>
          <w:sz w:val="24"/>
          <w:szCs w:val="24"/>
        </w:rPr>
      </w:pPr>
      <w:r w:rsidRPr="004B3EB9">
        <w:rPr>
          <w:rFonts w:ascii="Times New Roman" w:hAnsi="Times New Roman"/>
          <w:sz w:val="24"/>
          <w:szCs w:val="24"/>
        </w:rPr>
        <w:t>İMATİS</w:t>
      </w:r>
      <w:r w:rsidR="00F54064">
        <w:rPr>
          <w:rFonts w:ascii="Times New Roman" w:hAnsi="Times New Roman"/>
          <w:sz w:val="24"/>
          <w:szCs w:val="24"/>
        </w:rPr>
        <w:t>’</w:t>
      </w:r>
      <w:r w:rsidR="00396DF1" w:rsidRPr="004B3EB9">
        <w:rPr>
          <w:rFonts w:ascii="Times New Roman" w:hAnsi="Times New Roman"/>
          <w:sz w:val="24"/>
          <w:szCs w:val="24"/>
        </w:rPr>
        <w:t>in KML endikasyonunda 2 yaşın altındaki çocuklarda kullanımıyla ilgili herhangi bir deneyim bulunmamaktadır.</w:t>
      </w:r>
      <w:r w:rsidRPr="004B3EB9">
        <w:rPr>
          <w:rFonts w:ascii="Times New Roman" w:hAnsi="Times New Roman"/>
          <w:sz w:val="24"/>
          <w:szCs w:val="24"/>
        </w:rPr>
        <w:t xml:space="preserve"> İMATİS</w:t>
      </w:r>
      <w:r w:rsidR="00F54064">
        <w:rPr>
          <w:rFonts w:ascii="Times New Roman" w:hAnsi="Times New Roman"/>
          <w:sz w:val="24"/>
          <w:szCs w:val="24"/>
        </w:rPr>
        <w:t>’</w:t>
      </w:r>
      <w:r w:rsidR="00396DF1" w:rsidRPr="004B3EB9">
        <w:rPr>
          <w:rFonts w:ascii="Times New Roman" w:hAnsi="Times New Roman"/>
          <w:sz w:val="24"/>
          <w:szCs w:val="24"/>
        </w:rPr>
        <w:t>in diğer endikasyonlarda 3 yaşından küçük çocuklarda kullanılması konusundaki tecrübelerimiz çok sınırlıdır.</w:t>
      </w:r>
    </w:p>
    <w:p w:rsidR="007649C6" w:rsidRPr="004B3EB9" w:rsidRDefault="007649C6" w:rsidP="00C86B5D">
      <w:pPr>
        <w:spacing w:after="0"/>
        <w:jc w:val="both"/>
        <w:rPr>
          <w:rFonts w:ascii="Times New Roman" w:hAnsi="Times New Roman"/>
          <w:sz w:val="24"/>
          <w:szCs w:val="24"/>
        </w:rPr>
      </w:pPr>
      <w:r>
        <w:rPr>
          <w:rFonts w:ascii="Times New Roman" w:hAnsi="Times New Roman"/>
          <w:sz w:val="24"/>
          <w:szCs w:val="24"/>
        </w:rPr>
        <w:t>Çocuklarda doz uygulaması vücut yüzey alanını (mg/m</w:t>
      </w:r>
      <w:r w:rsidRPr="007649C6">
        <w:rPr>
          <w:rFonts w:ascii="Times New Roman" w:hAnsi="Times New Roman"/>
          <w:sz w:val="24"/>
          <w:szCs w:val="24"/>
          <w:vertAlign w:val="superscript"/>
        </w:rPr>
        <w:t>2</w:t>
      </w:r>
      <w:r>
        <w:rPr>
          <w:rFonts w:ascii="Times New Roman" w:hAnsi="Times New Roman"/>
          <w:sz w:val="24"/>
          <w:szCs w:val="24"/>
        </w:rPr>
        <w:t xml:space="preserve">) temel almalıdır. Kronik faz ve ilerlemiş faz KML’si olan çocuklar için 340 </w:t>
      </w:r>
      <w:r w:rsidRPr="007649C6">
        <w:rPr>
          <w:rFonts w:ascii="Times New Roman" w:hAnsi="Times New Roman"/>
          <w:sz w:val="24"/>
          <w:szCs w:val="24"/>
        </w:rPr>
        <w:t>mg/m</w:t>
      </w:r>
      <w:r w:rsidRPr="007649C6">
        <w:rPr>
          <w:rFonts w:ascii="Times New Roman" w:hAnsi="Times New Roman"/>
          <w:sz w:val="24"/>
          <w:szCs w:val="24"/>
          <w:vertAlign w:val="superscript"/>
        </w:rPr>
        <w:t>2</w:t>
      </w:r>
      <w:r>
        <w:rPr>
          <w:rFonts w:ascii="Times New Roman" w:hAnsi="Times New Roman"/>
          <w:sz w:val="24"/>
          <w:szCs w:val="24"/>
        </w:rPr>
        <w:t xml:space="preserve"> günlük doz önerilmektedir (toplam doz günde 600 mg’ı geçmemelidir). Tedavi günde bir kere doz uygulaması yoluyla verilebilir ya da alternatif olarak günlük doz iki uygulamaya bölünebilir – sabah bir ve akşam bir (bkz. Bölüm </w:t>
      </w:r>
      <w:proofErr w:type="gramStart"/>
      <w:r>
        <w:rPr>
          <w:rFonts w:ascii="Times New Roman" w:hAnsi="Times New Roman"/>
          <w:sz w:val="24"/>
          <w:szCs w:val="24"/>
        </w:rPr>
        <w:t>5.1</w:t>
      </w:r>
      <w:proofErr w:type="gramEnd"/>
      <w:r>
        <w:rPr>
          <w:rFonts w:ascii="Times New Roman" w:hAnsi="Times New Roman"/>
          <w:sz w:val="24"/>
          <w:szCs w:val="24"/>
        </w:rPr>
        <w:t>).</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 xml:space="preserve">Geriyatrik </w:t>
      </w:r>
      <w:proofErr w:type="gramStart"/>
      <w:r w:rsidRPr="004B3EB9">
        <w:rPr>
          <w:rFonts w:ascii="Times New Roman" w:hAnsi="Times New Roman"/>
          <w:b/>
          <w:bCs/>
          <w:sz w:val="24"/>
          <w:szCs w:val="24"/>
        </w:rPr>
        <w:t>popülasyon</w:t>
      </w:r>
      <w:proofErr w:type="gramEnd"/>
      <w:r w:rsidRPr="004B3EB9">
        <w:rPr>
          <w:rFonts w:ascii="Times New Roman" w:hAnsi="Times New Roman"/>
          <w:sz w:val="24"/>
          <w:szCs w:val="24"/>
        </w:rPr>
        <w:t>:</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Yaşlılarda </w:t>
      </w:r>
      <w:proofErr w:type="gramStart"/>
      <w:r w:rsidRPr="004B3EB9">
        <w:rPr>
          <w:rFonts w:ascii="Times New Roman" w:hAnsi="Times New Roman"/>
          <w:sz w:val="24"/>
          <w:szCs w:val="24"/>
        </w:rPr>
        <w:t>spesifik</w:t>
      </w:r>
      <w:proofErr w:type="gramEnd"/>
      <w:r w:rsidRPr="004B3EB9">
        <w:rPr>
          <w:rFonts w:ascii="Times New Roman" w:hAnsi="Times New Roman"/>
          <w:sz w:val="24"/>
          <w:szCs w:val="24"/>
        </w:rPr>
        <w:t xml:space="preserve"> olarak imatinib farmakokinetiği araştırılmamıştır.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Katılan </w:t>
      </w:r>
      <w:r w:rsidR="009E236D" w:rsidRPr="004B3EB9">
        <w:rPr>
          <w:rFonts w:ascii="Times New Roman" w:hAnsi="Times New Roman"/>
          <w:sz w:val="24"/>
          <w:szCs w:val="24"/>
        </w:rPr>
        <w:t>hastaların</w:t>
      </w:r>
      <w:r w:rsidRPr="004B3EB9">
        <w:rPr>
          <w:rFonts w:ascii="Times New Roman" w:hAnsi="Times New Roman"/>
          <w:sz w:val="24"/>
          <w:szCs w:val="24"/>
        </w:rPr>
        <w:t xml:space="preserve"> % 20</w:t>
      </w:r>
      <w:r w:rsidR="00F54064">
        <w:rPr>
          <w:rFonts w:ascii="Times New Roman" w:hAnsi="Times New Roman"/>
          <w:sz w:val="24"/>
          <w:szCs w:val="24"/>
        </w:rPr>
        <w:t>’</w:t>
      </w:r>
      <w:r w:rsidRPr="004B3EB9">
        <w:rPr>
          <w:rFonts w:ascii="Times New Roman" w:hAnsi="Times New Roman"/>
          <w:sz w:val="24"/>
          <w:szCs w:val="24"/>
        </w:rPr>
        <w:t>sinden fazlasının 65 ve daha yuka</w:t>
      </w:r>
      <w:r w:rsidR="008B5727" w:rsidRPr="004B3EB9">
        <w:rPr>
          <w:rFonts w:ascii="Times New Roman" w:hAnsi="Times New Roman"/>
          <w:sz w:val="24"/>
          <w:szCs w:val="24"/>
        </w:rPr>
        <w:t>rı</w:t>
      </w:r>
      <w:r w:rsidRPr="004B3EB9">
        <w:rPr>
          <w:rFonts w:ascii="Times New Roman" w:hAnsi="Times New Roman"/>
          <w:sz w:val="24"/>
          <w:szCs w:val="24"/>
        </w:rPr>
        <w:t xml:space="preserve"> yaşlarda olduğu klinik çalışmalarda, yetişkin hastalarda yaşla ilişkili anlamlı farmakokinetik farklılıklar gözlenmemiştir. Yaşlılarda, özel bir doz önerisi gerekli değildir.</w:t>
      </w:r>
    </w:p>
    <w:p w:rsidR="00FA40FF" w:rsidRPr="004B3EB9" w:rsidRDefault="00FA40FF"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4.3.</w:t>
      </w:r>
      <w:r w:rsidRPr="004B3EB9">
        <w:rPr>
          <w:rFonts w:ascii="Times New Roman" w:hAnsi="Times New Roman"/>
          <w:b/>
          <w:bCs/>
          <w:sz w:val="24"/>
          <w:szCs w:val="24"/>
        </w:rPr>
        <w:tab/>
        <w:t>Kontrendikasyonlar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Aktif ma</w:t>
      </w:r>
      <w:r w:rsidR="008B5727" w:rsidRPr="004B3EB9">
        <w:rPr>
          <w:rFonts w:ascii="Times New Roman" w:hAnsi="Times New Roman"/>
          <w:sz w:val="24"/>
          <w:szCs w:val="24"/>
        </w:rPr>
        <w:t>d</w:t>
      </w:r>
      <w:r w:rsidRPr="004B3EB9">
        <w:rPr>
          <w:rFonts w:ascii="Times New Roman" w:hAnsi="Times New Roman"/>
          <w:sz w:val="24"/>
          <w:szCs w:val="24"/>
        </w:rPr>
        <w:t>deye veya eksipiyanlardan herhangi birine karşı aşı</w:t>
      </w:r>
      <w:r w:rsidR="000646A4" w:rsidRPr="004B3EB9">
        <w:rPr>
          <w:rFonts w:ascii="Times New Roman" w:hAnsi="Times New Roman"/>
          <w:sz w:val="24"/>
          <w:szCs w:val="24"/>
        </w:rPr>
        <w:t>rı</w:t>
      </w:r>
      <w:r w:rsidRPr="004B3EB9">
        <w:rPr>
          <w:rFonts w:ascii="Times New Roman" w:hAnsi="Times New Roman"/>
          <w:sz w:val="24"/>
          <w:szCs w:val="24"/>
        </w:rPr>
        <w:t xml:space="preserve"> duyarlılık.</w:t>
      </w:r>
    </w:p>
    <w:p w:rsidR="00070826" w:rsidRPr="004B3EB9" w:rsidRDefault="00070826"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4.4.</w:t>
      </w:r>
      <w:r w:rsidRPr="004B3EB9">
        <w:rPr>
          <w:rFonts w:ascii="Times New Roman" w:hAnsi="Times New Roman"/>
          <w:b/>
          <w:bCs/>
          <w:sz w:val="24"/>
          <w:szCs w:val="24"/>
        </w:rPr>
        <w:tab/>
        <w:t>Özel kullanım uyarıları ve önlemleri</w:t>
      </w:r>
    </w:p>
    <w:p w:rsidR="00396DF1" w:rsidRDefault="009E236D" w:rsidP="00C86B5D">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başka ilaçlarla eşzamanlı olarak kullanıldığında önemli ilaç etkileşimleri görülme potansiyeli bulunmaktadır.</w:t>
      </w:r>
      <w:r w:rsidR="00BA40DC">
        <w:rPr>
          <w:rFonts w:ascii="Times New Roman" w:hAnsi="Times New Roman"/>
          <w:sz w:val="24"/>
          <w:szCs w:val="24"/>
        </w:rPr>
        <w:t xml:space="preserve"> İMATİS, rifampisin ya da diğer güçlü CYP3A4 indükleyicileri, ketokonazol ya da diğer güçlü CYP3A4 inhibitörleri, dar bir terapötik penceresi olan CYP3A4 substra</w:t>
      </w:r>
      <w:r w:rsidR="001227CA">
        <w:rPr>
          <w:rFonts w:ascii="Times New Roman" w:hAnsi="Times New Roman"/>
          <w:sz w:val="24"/>
          <w:szCs w:val="24"/>
        </w:rPr>
        <w:t>t</w:t>
      </w:r>
      <w:r w:rsidR="00BA40DC">
        <w:rPr>
          <w:rFonts w:ascii="Times New Roman" w:hAnsi="Times New Roman"/>
          <w:sz w:val="24"/>
          <w:szCs w:val="24"/>
        </w:rPr>
        <w:t xml:space="preserve">ları (örn. siklosporin ya da pimozid) ya da dar bir terapötik penceresi olan CYP2C9 substratları (örn. varfarin ya da diğer kumarin türevleri) ile birlikte alındığında dikkatli olunmalıdır (bkz. Bölüm </w:t>
      </w:r>
      <w:proofErr w:type="gramStart"/>
      <w:r w:rsidR="00BA40DC">
        <w:rPr>
          <w:rFonts w:ascii="Times New Roman" w:hAnsi="Times New Roman"/>
          <w:sz w:val="24"/>
          <w:szCs w:val="24"/>
        </w:rPr>
        <w:t>4.5</w:t>
      </w:r>
      <w:proofErr w:type="gramEnd"/>
      <w:r w:rsidR="00BA40DC">
        <w:rPr>
          <w:rFonts w:ascii="Times New Roman" w:hAnsi="Times New Roman"/>
          <w:sz w:val="24"/>
          <w:szCs w:val="24"/>
        </w:rPr>
        <w:t>).</w:t>
      </w:r>
    </w:p>
    <w:p w:rsidR="00BA40DC" w:rsidRPr="004B3EB9" w:rsidRDefault="00BA40DC"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Ateş düşürücü olarak düzenli aralıklarla parasetamol (asetaminofen) alan bir hastanın akut karaciğer yetmezliği nedeniyle öldüğü bildirilmiştir.</w:t>
      </w:r>
      <w:r w:rsidR="00E37D98" w:rsidRPr="004B3EB9">
        <w:rPr>
          <w:rFonts w:ascii="Times New Roman" w:hAnsi="Times New Roman"/>
          <w:sz w:val="24"/>
          <w:szCs w:val="24"/>
        </w:rPr>
        <w:t xml:space="preserve"> </w:t>
      </w:r>
      <w:r w:rsidRPr="004B3EB9">
        <w:rPr>
          <w:rFonts w:ascii="Times New Roman" w:hAnsi="Times New Roman"/>
          <w:sz w:val="24"/>
          <w:szCs w:val="24"/>
        </w:rPr>
        <w:t xml:space="preserve">Etiyolojisi tam olarak bilinmemekle beraber, parasetamol/asetaminofen kullanımında dikkatli olunmalıdır (bkz. </w:t>
      </w:r>
      <w:proofErr w:type="gramStart"/>
      <w:r w:rsidRPr="004B3EB9">
        <w:rPr>
          <w:rFonts w:ascii="Times New Roman" w:hAnsi="Times New Roman"/>
          <w:sz w:val="24"/>
          <w:szCs w:val="24"/>
        </w:rPr>
        <w:t>4.5</w:t>
      </w:r>
      <w:proofErr w:type="gramEnd"/>
      <w:r w:rsidRPr="004B3EB9">
        <w:rPr>
          <w:rFonts w:ascii="Times New Roman" w:hAnsi="Times New Roman"/>
          <w:sz w:val="24"/>
          <w:szCs w:val="24"/>
        </w:rPr>
        <w:t xml:space="preserve"> Diğer tıbbi ürünler ile etkileşimler ve diğer etkileşim şekilleri).</w:t>
      </w:r>
    </w:p>
    <w:p w:rsidR="00AC31E5" w:rsidRDefault="00AC31E5" w:rsidP="00C86B5D">
      <w:pPr>
        <w:spacing w:after="0"/>
        <w:jc w:val="both"/>
        <w:rPr>
          <w:rFonts w:ascii="Times New Roman" w:hAnsi="Times New Roman"/>
          <w:sz w:val="24"/>
          <w:szCs w:val="24"/>
        </w:rPr>
      </w:pPr>
    </w:p>
    <w:p w:rsidR="00AC31E5" w:rsidRDefault="00AC31E5" w:rsidP="00C86B5D">
      <w:pPr>
        <w:spacing w:after="0"/>
        <w:jc w:val="both"/>
        <w:rPr>
          <w:rFonts w:ascii="Times New Roman" w:hAnsi="Times New Roman"/>
          <w:sz w:val="24"/>
          <w:szCs w:val="24"/>
        </w:rPr>
      </w:pPr>
      <w:r>
        <w:rPr>
          <w:rFonts w:ascii="Times New Roman" w:hAnsi="Times New Roman"/>
          <w:sz w:val="24"/>
          <w:szCs w:val="24"/>
        </w:rPr>
        <w:t>Hipotiroidism:</w:t>
      </w:r>
    </w:p>
    <w:p w:rsidR="00396DF1" w:rsidRDefault="009D5816" w:rsidP="00C86B5D">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tedavisi sırasında levotiroksin replasmanı yapılan tiroidektomi </w:t>
      </w:r>
      <w:r w:rsidR="009E236D" w:rsidRPr="004B3EB9">
        <w:rPr>
          <w:rFonts w:ascii="Times New Roman" w:hAnsi="Times New Roman"/>
          <w:sz w:val="24"/>
          <w:szCs w:val="24"/>
        </w:rPr>
        <w:t>hastaların</w:t>
      </w:r>
      <w:r w:rsidR="00396DF1" w:rsidRPr="004B3EB9">
        <w:rPr>
          <w:rFonts w:ascii="Times New Roman" w:hAnsi="Times New Roman"/>
          <w:sz w:val="24"/>
          <w:szCs w:val="24"/>
        </w:rPr>
        <w:t>da klinik hipotiroidizm olgula</w:t>
      </w:r>
      <w:r w:rsidR="008E32E3" w:rsidRPr="004B3EB9">
        <w:rPr>
          <w:rFonts w:ascii="Times New Roman" w:hAnsi="Times New Roman"/>
          <w:sz w:val="24"/>
          <w:szCs w:val="24"/>
        </w:rPr>
        <w:t>rı</w:t>
      </w:r>
      <w:r w:rsidR="00396DF1" w:rsidRPr="004B3EB9">
        <w:rPr>
          <w:rFonts w:ascii="Times New Roman" w:hAnsi="Times New Roman"/>
          <w:sz w:val="24"/>
          <w:szCs w:val="24"/>
        </w:rPr>
        <w:t xml:space="preserve"> bildirilmiştir. Bu tür hastalarda </w:t>
      </w:r>
      <w:r w:rsidR="00AC31E5">
        <w:rPr>
          <w:rFonts w:ascii="Times New Roman" w:hAnsi="Times New Roman"/>
          <w:sz w:val="24"/>
          <w:szCs w:val="24"/>
        </w:rPr>
        <w:t>Tiroid Stimulan Hormon (</w:t>
      </w:r>
      <w:r w:rsidR="00396DF1" w:rsidRPr="004B3EB9">
        <w:rPr>
          <w:rFonts w:ascii="Times New Roman" w:hAnsi="Times New Roman"/>
          <w:sz w:val="24"/>
          <w:szCs w:val="24"/>
        </w:rPr>
        <w:t>TSH</w:t>
      </w:r>
      <w:r w:rsidR="00AC31E5">
        <w:rPr>
          <w:rFonts w:ascii="Times New Roman" w:hAnsi="Times New Roman"/>
          <w:sz w:val="24"/>
          <w:szCs w:val="24"/>
        </w:rPr>
        <w:t>)</w:t>
      </w:r>
      <w:r w:rsidR="00396DF1" w:rsidRPr="004B3EB9">
        <w:rPr>
          <w:rFonts w:ascii="Times New Roman" w:hAnsi="Times New Roman"/>
          <w:sz w:val="24"/>
          <w:szCs w:val="24"/>
        </w:rPr>
        <w:t xml:space="preserve"> düzeyleri yakından izlenmelidir.</w:t>
      </w:r>
    </w:p>
    <w:p w:rsidR="00AC31E5" w:rsidRDefault="00AC31E5" w:rsidP="00C86B5D">
      <w:pPr>
        <w:spacing w:after="0"/>
        <w:jc w:val="both"/>
        <w:rPr>
          <w:rFonts w:ascii="Times New Roman" w:hAnsi="Times New Roman"/>
          <w:sz w:val="24"/>
          <w:szCs w:val="24"/>
        </w:rPr>
      </w:pPr>
    </w:p>
    <w:p w:rsidR="00AC31E5" w:rsidRPr="004B3EB9" w:rsidRDefault="00AC31E5" w:rsidP="00C86B5D">
      <w:pPr>
        <w:spacing w:after="0"/>
        <w:jc w:val="both"/>
        <w:rPr>
          <w:rFonts w:ascii="Times New Roman" w:hAnsi="Times New Roman"/>
          <w:sz w:val="24"/>
          <w:szCs w:val="24"/>
        </w:rPr>
      </w:pPr>
      <w:r>
        <w:rPr>
          <w:rFonts w:ascii="Times New Roman" w:hAnsi="Times New Roman"/>
          <w:sz w:val="24"/>
          <w:szCs w:val="24"/>
        </w:rPr>
        <w:t>Hepatotoksisite:</w:t>
      </w: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Karaciğer disfonksiyonu (hafif, orta şiddette ve şiddetli) olan hastalarda, periferik kan sayımları ve karaciğer enzimleri dikkatli bir şekilde izlenmelidir (bkz </w:t>
      </w:r>
      <w:proofErr w:type="gramStart"/>
      <w:r w:rsidRPr="004B3EB9">
        <w:rPr>
          <w:rFonts w:ascii="Times New Roman" w:hAnsi="Times New Roman"/>
          <w:sz w:val="24"/>
          <w:szCs w:val="24"/>
        </w:rPr>
        <w:t>4.2</w:t>
      </w:r>
      <w:proofErr w:type="gramEnd"/>
      <w:r w:rsidRPr="004B3EB9">
        <w:rPr>
          <w:rFonts w:ascii="Times New Roman" w:hAnsi="Times New Roman"/>
          <w:sz w:val="24"/>
          <w:szCs w:val="24"/>
        </w:rPr>
        <w:t xml:space="preserve"> Pozoloji ve uygulama şekli, 4.8 İstenmeyen etkiler, 5.1 Farmakodinamik özellikler, 5.2 Farmakokinetik özellikler).</w:t>
      </w:r>
      <w:r w:rsidR="00362D5A">
        <w:rPr>
          <w:rFonts w:ascii="Times New Roman" w:hAnsi="Times New Roman"/>
          <w:sz w:val="24"/>
          <w:szCs w:val="24"/>
        </w:rPr>
        <w:t xml:space="preserve"> </w:t>
      </w:r>
    </w:p>
    <w:p w:rsidR="005739A4" w:rsidRDefault="005739A4" w:rsidP="00C86B5D">
      <w:pPr>
        <w:spacing w:after="0"/>
        <w:jc w:val="both"/>
        <w:rPr>
          <w:rFonts w:ascii="Times New Roman" w:hAnsi="Times New Roman"/>
          <w:sz w:val="24"/>
          <w:szCs w:val="24"/>
        </w:rPr>
      </w:pPr>
    </w:p>
    <w:p w:rsidR="00CA0286" w:rsidRDefault="00CA0286" w:rsidP="00C86B5D">
      <w:pPr>
        <w:spacing w:after="0"/>
        <w:jc w:val="both"/>
        <w:rPr>
          <w:rFonts w:ascii="Times New Roman" w:hAnsi="Times New Roman"/>
          <w:sz w:val="24"/>
          <w:szCs w:val="24"/>
        </w:rPr>
      </w:pPr>
      <w:r>
        <w:rPr>
          <w:rFonts w:ascii="Times New Roman" w:hAnsi="Times New Roman"/>
          <w:sz w:val="24"/>
          <w:szCs w:val="24"/>
        </w:rPr>
        <w:t>Sıvı retansiyonu:</w:t>
      </w:r>
    </w:p>
    <w:p w:rsidR="00396DF1" w:rsidRDefault="009D5816" w:rsidP="00C86B5D">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alan yeni ta</w:t>
      </w:r>
      <w:r w:rsidRPr="004B3EB9">
        <w:rPr>
          <w:rFonts w:ascii="Times New Roman" w:hAnsi="Times New Roman"/>
          <w:sz w:val="24"/>
          <w:szCs w:val="24"/>
        </w:rPr>
        <w:t>nı</w:t>
      </w:r>
      <w:r w:rsidR="00396DF1" w:rsidRPr="004B3EB9">
        <w:rPr>
          <w:rFonts w:ascii="Times New Roman" w:hAnsi="Times New Roman"/>
          <w:sz w:val="24"/>
          <w:szCs w:val="24"/>
        </w:rPr>
        <w:t xml:space="preserve"> konulmuş KML hastalarının yaklaşık % </w:t>
      </w:r>
      <w:proofErr w:type="gramStart"/>
      <w:r w:rsidR="00396DF1" w:rsidRPr="004B3EB9">
        <w:rPr>
          <w:rFonts w:ascii="Times New Roman" w:hAnsi="Times New Roman"/>
          <w:sz w:val="24"/>
          <w:szCs w:val="24"/>
        </w:rPr>
        <w:t>2.5</w:t>
      </w:r>
      <w:r w:rsidR="00F54064">
        <w:rPr>
          <w:rFonts w:ascii="Times New Roman" w:hAnsi="Times New Roman"/>
          <w:sz w:val="24"/>
          <w:szCs w:val="24"/>
        </w:rPr>
        <w:t>’</w:t>
      </w:r>
      <w:r w:rsidR="00396DF1" w:rsidRPr="004B3EB9">
        <w:rPr>
          <w:rFonts w:ascii="Times New Roman" w:hAnsi="Times New Roman"/>
          <w:sz w:val="24"/>
          <w:szCs w:val="24"/>
        </w:rPr>
        <w:t>inde</w:t>
      </w:r>
      <w:proofErr w:type="gramEnd"/>
      <w:r w:rsidR="00396DF1" w:rsidRPr="004B3EB9">
        <w:rPr>
          <w:rFonts w:ascii="Times New Roman" w:hAnsi="Times New Roman"/>
          <w:sz w:val="24"/>
          <w:szCs w:val="24"/>
        </w:rPr>
        <w:t xml:space="preserve"> ciddi sıvı retansiyonu (plevra efüzyonu, ödem, pulmoner ödem, asit, yüzeysel ödem</w:t>
      </w:r>
      <w:r w:rsidR="000646A4" w:rsidRPr="004B3EB9">
        <w:rPr>
          <w:rFonts w:ascii="Times New Roman" w:hAnsi="Times New Roman"/>
          <w:sz w:val="24"/>
          <w:szCs w:val="24"/>
        </w:rPr>
        <w:t>) ortaya çıktığı bildirilmiştir</w:t>
      </w:r>
      <w:r w:rsidR="00396DF1" w:rsidRPr="004B3EB9">
        <w:rPr>
          <w:rFonts w:ascii="Times New Roman" w:hAnsi="Times New Roman"/>
          <w:sz w:val="24"/>
          <w:szCs w:val="24"/>
        </w:rPr>
        <w:t xml:space="preserve">. Bu nedenle, hastalarda düzenli aralıklarla kilo kontrolü önerilir. Beklenmedik, ani bir kilo artışı dikkatli araştırılmalı ve gerektiğinde uygun destek tedavisi uygulanmalı ve terapötik önlemler alınmalıdır. Klinik çalışmalarda, yaşlı hastalarda ve daha önceden kardiyak hastalık </w:t>
      </w:r>
      <w:proofErr w:type="gramStart"/>
      <w:r w:rsidR="00396DF1" w:rsidRPr="004B3EB9">
        <w:rPr>
          <w:rFonts w:ascii="Times New Roman" w:hAnsi="Times New Roman"/>
          <w:sz w:val="24"/>
          <w:szCs w:val="24"/>
        </w:rPr>
        <w:t>hikayesi</w:t>
      </w:r>
      <w:proofErr w:type="gramEnd"/>
      <w:r w:rsidR="00396DF1" w:rsidRPr="004B3EB9">
        <w:rPr>
          <w:rFonts w:ascii="Times New Roman" w:hAnsi="Times New Roman"/>
          <w:sz w:val="24"/>
          <w:szCs w:val="24"/>
        </w:rPr>
        <w:t xml:space="preserve"> bulunanlarda bu olay</w:t>
      </w:r>
      <w:r w:rsidR="00791617" w:rsidRPr="004B3EB9">
        <w:rPr>
          <w:rFonts w:ascii="Times New Roman" w:hAnsi="Times New Roman"/>
          <w:sz w:val="24"/>
          <w:szCs w:val="24"/>
        </w:rPr>
        <w:t>ların</w:t>
      </w:r>
      <w:r w:rsidR="00396DF1" w:rsidRPr="004B3EB9">
        <w:rPr>
          <w:rFonts w:ascii="Times New Roman" w:hAnsi="Times New Roman"/>
          <w:sz w:val="24"/>
          <w:szCs w:val="24"/>
        </w:rPr>
        <w:t xml:space="preserve"> insidans</w:t>
      </w:r>
      <w:r w:rsidR="00791617" w:rsidRPr="004B3EB9">
        <w:rPr>
          <w:rFonts w:ascii="Times New Roman" w:hAnsi="Times New Roman"/>
          <w:sz w:val="24"/>
          <w:szCs w:val="24"/>
        </w:rPr>
        <w:t>ların</w:t>
      </w:r>
      <w:r w:rsidR="00396DF1" w:rsidRPr="004B3EB9">
        <w:rPr>
          <w:rFonts w:ascii="Times New Roman" w:hAnsi="Times New Roman"/>
          <w:sz w:val="24"/>
          <w:szCs w:val="24"/>
        </w:rPr>
        <w:t>ın arttığı saptanmıştır.</w:t>
      </w:r>
    </w:p>
    <w:p w:rsidR="001D0F28" w:rsidRPr="004B3EB9" w:rsidRDefault="001D0F28" w:rsidP="00C86B5D">
      <w:pPr>
        <w:spacing w:after="0"/>
        <w:jc w:val="both"/>
        <w:rPr>
          <w:rFonts w:ascii="Times New Roman" w:hAnsi="Times New Roman"/>
          <w:sz w:val="24"/>
          <w:szCs w:val="24"/>
        </w:rPr>
      </w:pPr>
      <w:r>
        <w:rPr>
          <w:rFonts w:ascii="Times New Roman" w:hAnsi="Times New Roman"/>
          <w:sz w:val="24"/>
          <w:szCs w:val="24"/>
        </w:rPr>
        <w:t>Kalp hastalığı ya da böbrek yetmezliği olan hastalar:</w:t>
      </w:r>
    </w:p>
    <w:p w:rsidR="00396DF1" w:rsidRPr="004B3EB9" w:rsidRDefault="001D0F28" w:rsidP="00C86B5D">
      <w:pPr>
        <w:spacing w:after="0"/>
        <w:jc w:val="both"/>
        <w:rPr>
          <w:rFonts w:ascii="Times New Roman" w:hAnsi="Times New Roman"/>
          <w:sz w:val="24"/>
          <w:szCs w:val="24"/>
        </w:rPr>
      </w:pPr>
      <w:r>
        <w:rPr>
          <w:rFonts w:ascii="Times New Roman" w:hAnsi="Times New Roman"/>
          <w:sz w:val="24"/>
          <w:szCs w:val="24"/>
        </w:rPr>
        <w:t>Kalp hastalığı, kalp yetmezliği açısından risk faktörleri bulunan veya böbrek yetmezliği</w:t>
      </w:r>
      <w:r w:rsidR="00A81FAC">
        <w:rPr>
          <w:rFonts w:ascii="Times New Roman" w:hAnsi="Times New Roman"/>
          <w:sz w:val="24"/>
          <w:szCs w:val="24"/>
        </w:rPr>
        <w:t xml:space="preserve"> </w:t>
      </w:r>
      <w:proofErr w:type="gramStart"/>
      <w:r w:rsidR="00A81FAC">
        <w:rPr>
          <w:rFonts w:ascii="Times New Roman" w:hAnsi="Times New Roman"/>
          <w:sz w:val="24"/>
          <w:szCs w:val="24"/>
        </w:rPr>
        <w:t>hikayesi</w:t>
      </w:r>
      <w:proofErr w:type="gramEnd"/>
      <w:r>
        <w:rPr>
          <w:rFonts w:ascii="Times New Roman" w:hAnsi="Times New Roman"/>
          <w:sz w:val="24"/>
          <w:szCs w:val="24"/>
        </w:rPr>
        <w:t xml:space="preserve"> olan hastalar dikkatlice takip edilmeli, kalp veya böbrek yetmezliğini düşündüren belirti ve semptomları olan her hasta değerlendirilmeli ve tedavi edilmelidir.</w:t>
      </w:r>
    </w:p>
    <w:p w:rsidR="00396DF1" w:rsidRPr="004B3EB9" w:rsidRDefault="005E4ADE" w:rsidP="00C86B5D">
      <w:pPr>
        <w:spacing w:after="0"/>
        <w:jc w:val="both"/>
        <w:rPr>
          <w:rFonts w:ascii="Times New Roman" w:hAnsi="Times New Roman"/>
          <w:sz w:val="24"/>
          <w:szCs w:val="24"/>
        </w:rPr>
      </w:pPr>
      <w:r>
        <w:rPr>
          <w:rFonts w:ascii="Times New Roman" w:hAnsi="Times New Roman"/>
          <w:sz w:val="24"/>
          <w:szCs w:val="24"/>
        </w:rPr>
        <w:t xml:space="preserve">Miyokardiyum içinde HES hücrelerinin gizli sızdırmasının görüldüğü hipereozinofili </w:t>
      </w:r>
      <w:proofErr w:type="gramStart"/>
      <w:r>
        <w:rPr>
          <w:rFonts w:ascii="Times New Roman" w:hAnsi="Times New Roman"/>
          <w:sz w:val="24"/>
          <w:szCs w:val="24"/>
        </w:rPr>
        <w:t>sendromu</w:t>
      </w:r>
      <w:proofErr w:type="gramEnd"/>
      <w:r>
        <w:rPr>
          <w:rFonts w:ascii="Times New Roman" w:hAnsi="Times New Roman"/>
          <w:sz w:val="24"/>
          <w:szCs w:val="24"/>
        </w:rPr>
        <w:t xml:space="preserve"> (HES) olan hastalarda izole kardiyojenik şok/sol ventrikül disfonksiyonu, imatinib tedavisine başlanmasıyla beraber oluşan HES hücre degranülasyonu ile ilişkilendirilmiştir. </w:t>
      </w:r>
      <w:r w:rsidR="00396DF1" w:rsidRPr="004B3EB9">
        <w:rPr>
          <w:rFonts w:ascii="Times New Roman" w:hAnsi="Times New Roman"/>
          <w:sz w:val="24"/>
          <w:szCs w:val="24"/>
        </w:rPr>
        <w:t xml:space="preserve">Bu durumun sistemik steroidler kullanılarak, dolaşımı destekleyen önlemler alarak ve imatinib tedavisini geçici olarak durdurarak düzeltilebileceği bildirilmiştir. Miyelodisplastik/miyeloproliferatif hastalıklar (MDS/MPD) ve sistemik mastositoz yüksek eozinofil düzeyleri ile ilişkili olabilir. Bu nedenle, eozinofil düzeylerinin yüksek olduğu MDS/MPD </w:t>
      </w:r>
      <w:r w:rsidR="00791617" w:rsidRPr="004B3EB9">
        <w:rPr>
          <w:rFonts w:ascii="Times New Roman" w:hAnsi="Times New Roman"/>
          <w:sz w:val="24"/>
          <w:szCs w:val="24"/>
        </w:rPr>
        <w:t>vakaların</w:t>
      </w:r>
      <w:r w:rsidR="00396DF1" w:rsidRPr="004B3EB9">
        <w:rPr>
          <w:rFonts w:ascii="Times New Roman" w:hAnsi="Times New Roman"/>
          <w:sz w:val="24"/>
          <w:szCs w:val="24"/>
        </w:rPr>
        <w:t xml:space="preserve">da, SM vakalarında ve HES </w:t>
      </w:r>
      <w:r w:rsidR="00791617" w:rsidRPr="004B3EB9">
        <w:rPr>
          <w:rFonts w:ascii="Times New Roman" w:hAnsi="Times New Roman"/>
          <w:sz w:val="24"/>
          <w:szCs w:val="24"/>
        </w:rPr>
        <w:t>vakaların</w:t>
      </w:r>
      <w:r w:rsidR="00396DF1" w:rsidRPr="004B3EB9">
        <w:rPr>
          <w:rFonts w:ascii="Times New Roman" w:hAnsi="Times New Roman"/>
          <w:sz w:val="24"/>
          <w:szCs w:val="24"/>
        </w:rPr>
        <w:t>da ekokardiyografik inceleme yapılmalı ve serum troponin düzeyleri ölçülmelidir. Bunlardan birinde anormallik tespit edilirse tedavi başlangıcında imatinible birlikte 1-2 hafta boyunca 1-2 mg/kg dozunda sistemik steroid kullanılması düşünülmelidir.</w:t>
      </w:r>
    </w:p>
    <w:p w:rsidR="00F36470" w:rsidRDefault="00F36470" w:rsidP="00C86B5D">
      <w:pPr>
        <w:spacing w:after="0"/>
        <w:jc w:val="both"/>
        <w:rPr>
          <w:rFonts w:ascii="Times New Roman" w:hAnsi="Times New Roman"/>
          <w:sz w:val="24"/>
          <w:szCs w:val="24"/>
        </w:rPr>
      </w:pPr>
    </w:p>
    <w:p w:rsidR="00A81FAC" w:rsidRDefault="00A81FAC" w:rsidP="00C86B5D">
      <w:pPr>
        <w:spacing w:after="0"/>
        <w:jc w:val="both"/>
        <w:rPr>
          <w:rFonts w:ascii="Times New Roman" w:hAnsi="Times New Roman"/>
          <w:sz w:val="24"/>
          <w:szCs w:val="24"/>
        </w:rPr>
      </w:pPr>
      <w:r>
        <w:rPr>
          <w:rFonts w:ascii="Times New Roman" w:hAnsi="Times New Roman"/>
          <w:sz w:val="24"/>
          <w:szCs w:val="24"/>
        </w:rPr>
        <w:t xml:space="preserve">Tümör lizis </w:t>
      </w:r>
      <w:proofErr w:type="gramStart"/>
      <w:r>
        <w:rPr>
          <w:rFonts w:ascii="Times New Roman" w:hAnsi="Times New Roman"/>
          <w:sz w:val="24"/>
          <w:szCs w:val="24"/>
        </w:rPr>
        <w:t>sendromu</w:t>
      </w:r>
      <w:proofErr w:type="gramEnd"/>
      <w:r>
        <w:rPr>
          <w:rFonts w:ascii="Times New Roman" w:hAnsi="Times New Roman"/>
          <w:sz w:val="24"/>
          <w:szCs w:val="24"/>
        </w:rPr>
        <w:t>:</w:t>
      </w:r>
    </w:p>
    <w:p w:rsidR="00A81FAC" w:rsidRDefault="00A81FAC" w:rsidP="00C86B5D">
      <w:pPr>
        <w:spacing w:after="0"/>
        <w:jc w:val="both"/>
        <w:rPr>
          <w:rFonts w:ascii="Times New Roman" w:hAnsi="Times New Roman"/>
          <w:sz w:val="24"/>
          <w:szCs w:val="24"/>
        </w:rPr>
      </w:pPr>
      <w:r>
        <w:rPr>
          <w:rFonts w:ascii="Times New Roman" w:hAnsi="Times New Roman"/>
          <w:sz w:val="24"/>
          <w:szCs w:val="24"/>
        </w:rPr>
        <w:t>İmatinib ile tedavi edilen hastalar</w:t>
      </w:r>
      <w:r w:rsidR="00664EBC">
        <w:rPr>
          <w:rFonts w:ascii="Times New Roman" w:hAnsi="Times New Roman"/>
          <w:sz w:val="24"/>
          <w:szCs w:val="24"/>
        </w:rPr>
        <w:t>d</w:t>
      </w:r>
      <w:r>
        <w:rPr>
          <w:rFonts w:ascii="Times New Roman" w:hAnsi="Times New Roman"/>
          <w:sz w:val="24"/>
          <w:szCs w:val="24"/>
        </w:rPr>
        <w:t xml:space="preserve">a tümör lizis </w:t>
      </w:r>
      <w:proofErr w:type="gramStart"/>
      <w:r>
        <w:rPr>
          <w:rFonts w:ascii="Times New Roman" w:hAnsi="Times New Roman"/>
          <w:sz w:val="24"/>
          <w:szCs w:val="24"/>
        </w:rPr>
        <w:t>sendromu</w:t>
      </w:r>
      <w:proofErr w:type="gramEnd"/>
      <w:r>
        <w:rPr>
          <w:rFonts w:ascii="Times New Roman" w:hAnsi="Times New Roman"/>
          <w:sz w:val="24"/>
          <w:szCs w:val="24"/>
        </w:rPr>
        <w:t xml:space="preserve"> (TLS) vakaları bildirilmiştir. TLS meydana gelme olasılığı nedeniyle, </w:t>
      </w:r>
      <w:r w:rsidR="00567C79">
        <w:rPr>
          <w:rFonts w:ascii="Times New Roman" w:hAnsi="Times New Roman"/>
          <w:sz w:val="24"/>
          <w:szCs w:val="24"/>
        </w:rPr>
        <w:t xml:space="preserve">İMATİS başlatılmadan önce klinik açıdan anlamlı dehidrasyonun düzeltilmesi ve yüksek ürik asit düzeylerinin tedavisi önerilmektedir (bkz. Bölüm </w:t>
      </w:r>
      <w:proofErr w:type="gramStart"/>
      <w:r w:rsidR="00567C79">
        <w:rPr>
          <w:rFonts w:ascii="Times New Roman" w:hAnsi="Times New Roman"/>
          <w:sz w:val="24"/>
          <w:szCs w:val="24"/>
        </w:rPr>
        <w:t>4.8</w:t>
      </w:r>
      <w:proofErr w:type="gramEnd"/>
      <w:r w:rsidR="00567C79">
        <w:rPr>
          <w:rFonts w:ascii="Times New Roman" w:hAnsi="Times New Roman"/>
          <w:sz w:val="24"/>
          <w:szCs w:val="24"/>
        </w:rPr>
        <w:t>).</w:t>
      </w:r>
    </w:p>
    <w:p w:rsidR="00567C79" w:rsidRPr="004B3EB9" w:rsidRDefault="00567C79" w:rsidP="00C86B5D">
      <w:pPr>
        <w:spacing w:after="0"/>
        <w:jc w:val="both"/>
        <w:rPr>
          <w:rFonts w:ascii="Times New Roman" w:hAnsi="Times New Roman"/>
          <w:sz w:val="24"/>
          <w:szCs w:val="24"/>
        </w:rPr>
      </w:pPr>
    </w:p>
    <w:p w:rsidR="00396DF1" w:rsidRPr="00664EBC" w:rsidRDefault="00396DF1" w:rsidP="00C86B5D">
      <w:pPr>
        <w:spacing w:after="0"/>
        <w:jc w:val="both"/>
        <w:rPr>
          <w:rFonts w:ascii="Times New Roman" w:hAnsi="Times New Roman"/>
          <w:sz w:val="24"/>
          <w:szCs w:val="24"/>
        </w:rPr>
      </w:pPr>
      <w:r w:rsidRPr="00664EBC">
        <w:rPr>
          <w:rFonts w:ascii="Times New Roman" w:hAnsi="Times New Roman"/>
          <w:bCs/>
          <w:sz w:val="24"/>
          <w:szCs w:val="24"/>
        </w:rPr>
        <w:t>Laboratuvar testleri</w:t>
      </w:r>
      <w:r w:rsidR="00664EBC">
        <w:rPr>
          <w:rFonts w:ascii="Times New Roman" w:hAnsi="Times New Roman"/>
          <w:bCs/>
          <w:sz w:val="24"/>
          <w:szCs w:val="24"/>
        </w:rPr>
        <w:t>:</w:t>
      </w:r>
    </w:p>
    <w:p w:rsidR="00532131" w:rsidRDefault="009E236D" w:rsidP="00C86B5D">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xml:space="preserve"> ile tedavi sırasında düzenli olarak tam kan </w:t>
      </w:r>
      <w:r w:rsidR="008E32E3" w:rsidRPr="004B3EB9">
        <w:rPr>
          <w:rFonts w:ascii="Times New Roman" w:hAnsi="Times New Roman"/>
          <w:sz w:val="24"/>
          <w:szCs w:val="24"/>
        </w:rPr>
        <w:t>sayımları</w:t>
      </w:r>
      <w:r w:rsidR="00396DF1" w:rsidRPr="004B3EB9">
        <w:rPr>
          <w:rFonts w:ascii="Times New Roman" w:hAnsi="Times New Roman"/>
          <w:sz w:val="24"/>
          <w:szCs w:val="24"/>
        </w:rPr>
        <w:t xml:space="preserve"> yapılmalıdır. KML hastalarında </w:t>
      </w:r>
      <w:r w:rsidR="009D5816" w:rsidRPr="004B3EB9">
        <w:rPr>
          <w:rFonts w:ascii="Times New Roman" w:hAnsi="Times New Roman"/>
          <w:sz w:val="24"/>
          <w:szCs w:val="24"/>
        </w:rPr>
        <w:t>imatinib</w:t>
      </w:r>
      <w:r w:rsidR="00396DF1" w:rsidRPr="004B3EB9">
        <w:rPr>
          <w:rFonts w:ascii="Times New Roman" w:hAnsi="Times New Roman"/>
          <w:sz w:val="24"/>
          <w:szCs w:val="24"/>
        </w:rPr>
        <w:t xml:space="preserve"> tedavisine, nötropeni ya da trombositopeni eşlik etmiştir. Bununla birlikte, bu sitopenilerin ortaya çıkışı, hastalığ</w:t>
      </w:r>
      <w:r w:rsidR="00927A4E" w:rsidRPr="004B3EB9">
        <w:rPr>
          <w:rFonts w:ascii="Times New Roman" w:hAnsi="Times New Roman"/>
          <w:sz w:val="24"/>
          <w:szCs w:val="24"/>
        </w:rPr>
        <w:t>ın</w:t>
      </w:r>
      <w:r w:rsidR="00396DF1" w:rsidRPr="004B3EB9">
        <w:rPr>
          <w:rFonts w:ascii="Times New Roman" w:hAnsi="Times New Roman"/>
          <w:sz w:val="24"/>
          <w:szCs w:val="24"/>
        </w:rPr>
        <w:t xml:space="preserve"> tedavi edildiği evreye bağlıdır ve kronik fazda KM</w:t>
      </w:r>
      <w:r w:rsidR="00927A4E" w:rsidRPr="004B3EB9">
        <w:rPr>
          <w:rFonts w:ascii="Times New Roman" w:hAnsi="Times New Roman"/>
          <w:sz w:val="24"/>
          <w:szCs w:val="24"/>
        </w:rPr>
        <w:t>L bulunan hastalarla karşılaştırı</w:t>
      </w:r>
      <w:r w:rsidR="00396DF1" w:rsidRPr="004B3EB9">
        <w:rPr>
          <w:rFonts w:ascii="Times New Roman" w:hAnsi="Times New Roman"/>
          <w:sz w:val="24"/>
          <w:szCs w:val="24"/>
        </w:rPr>
        <w:t xml:space="preserve">ldığında, hızlanmış fazda KML ya da blast krizinde bulunan hastalarda daha sık olmaktadır. 4.2 Pozoloji ve uygulama şekli bölümünde önerildiği gibi </w:t>
      </w:r>
      <w:r w:rsidRPr="004B3EB9">
        <w:rPr>
          <w:rFonts w:ascii="Times New Roman" w:hAnsi="Times New Roman"/>
          <w:sz w:val="24"/>
          <w:szCs w:val="24"/>
        </w:rPr>
        <w:t>İMATİS</w:t>
      </w:r>
      <w:r w:rsidR="00396DF1" w:rsidRPr="004B3EB9">
        <w:rPr>
          <w:rFonts w:ascii="Times New Roman" w:hAnsi="Times New Roman"/>
          <w:sz w:val="24"/>
          <w:szCs w:val="24"/>
        </w:rPr>
        <w:t xml:space="preserve"> tedavisi kesilebilir ya da dozu azaltılabilir.</w:t>
      </w:r>
    </w:p>
    <w:p w:rsidR="00396DF1" w:rsidRPr="004B3EB9" w:rsidRDefault="009E236D" w:rsidP="00C86B5D">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xml:space="preserve"> alan hastalarda karaciğer fonksiyonu (transaminazlar, bilirubin, alkalin fosfataz) düzenli olarak takip edilmelidir. 4.2 Pozoloji ve uygulama şekli, Hematolojik olmayan advers reaksiyonlar bölümünde önerildiği gibi bu laboratuvar anormallikleri, </w:t>
      </w:r>
      <w:r w:rsidRPr="004B3EB9">
        <w:rPr>
          <w:rFonts w:ascii="Times New Roman" w:hAnsi="Times New Roman"/>
          <w:sz w:val="24"/>
          <w:szCs w:val="24"/>
        </w:rPr>
        <w:t>İMATİS</w:t>
      </w:r>
      <w:r w:rsidR="00396DF1" w:rsidRPr="004B3EB9">
        <w:rPr>
          <w:rFonts w:ascii="Times New Roman" w:hAnsi="Times New Roman"/>
          <w:sz w:val="24"/>
          <w:szCs w:val="24"/>
        </w:rPr>
        <w:t xml:space="preserve"> tedavisi kesilerek ve/veya dozu azaltılarak kontrol edilmelidir</w:t>
      </w:r>
      <w:r w:rsidR="000646A4" w:rsidRPr="004B3EB9">
        <w:rPr>
          <w:rFonts w:ascii="Times New Roman" w:hAnsi="Times New Roman"/>
          <w:sz w:val="24"/>
          <w:szCs w:val="24"/>
        </w:rPr>
        <w:t>.</w:t>
      </w:r>
    </w:p>
    <w:p w:rsidR="00396DF1" w:rsidRPr="004B3EB9" w:rsidRDefault="002E4B03" w:rsidP="00C86B5D">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ve metabolitleri böbrek yoluyla önemli bir miktarda atılmazlar. Kreatinin klerensinin (KrCL) yaşla birlikte azaldığı bilinmektedir ve yaş </w:t>
      </w:r>
      <w:r w:rsidRPr="004B3EB9">
        <w:rPr>
          <w:rFonts w:ascii="Times New Roman" w:hAnsi="Times New Roman"/>
          <w:sz w:val="24"/>
          <w:szCs w:val="24"/>
        </w:rPr>
        <w:t>imatinib</w:t>
      </w:r>
      <w:r w:rsidR="00396DF1" w:rsidRPr="004B3EB9">
        <w:rPr>
          <w:rFonts w:ascii="Times New Roman" w:hAnsi="Times New Roman"/>
          <w:sz w:val="24"/>
          <w:szCs w:val="24"/>
        </w:rPr>
        <w:t xml:space="preserve"> kinetiğini anlamlı olarak etkilememektedir.</w:t>
      </w:r>
      <w:r w:rsidR="00791617" w:rsidRPr="004B3EB9">
        <w:rPr>
          <w:rFonts w:ascii="Times New Roman" w:hAnsi="Times New Roman"/>
          <w:sz w:val="24"/>
          <w:szCs w:val="24"/>
        </w:rPr>
        <w:t xml:space="preserve"> </w:t>
      </w:r>
      <w:r w:rsidR="00396DF1" w:rsidRPr="004B3EB9">
        <w:rPr>
          <w:rFonts w:ascii="Times New Roman" w:hAnsi="Times New Roman"/>
          <w:sz w:val="24"/>
          <w:szCs w:val="24"/>
        </w:rPr>
        <w:t>Böbrek fonksiyonla</w:t>
      </w:r>
      <w:r w:rsidR="00EF16B0" w:rsidRPr="004B3EB9">
        <w:rPr>
          <w:rFonts w:ascii="Times New Roman" w:hAnsi="Times New Roman"/>
          <w:sz w:val="24"/>
          <w:szCs w:val="24"/>
        </w:rPr>
        <w:t>rı</w:t>
      </w:r>
      <w:r w:rsidR="00396DF1" w:rsidRPr="004B3EB9">
        <w:rPr>
          <w:rFonts w:ascii="Times New Roman" w:hAnsi="Times New Roman"/>
          <w:sz w:val="24"/>
          <w:szCs w:val="24"/>
        </w:rPr>
        <w:t xml:space="preserve"> bozuk hastalarda, imatinib plazma</w:t>
      </w:r>
      <w:r w:rsidR="00EF16B0" w:rsidRPr="004B3EB9">
        <w:rPr>
          <w:rFonts w:ascii="Times New Roman" w:hAnsi="Times New Roman"/>
          <w:sz w:val="24"/>
          <w:szCs w:val="24"/>
        </w:rPr>
        <w:t xml:space="preserve"> </w:t>
      </w:r>
      <w:r w:rsidR="00396DF1" w:rsidRPr="004B3EB9">
        <w:rPr>
          <w:rFonts w:ascii="Times New Roman" w:hAnsi="Times New Roman"/>
          <w:sz w:val="24"/>
          <w:szCs w:val="24"/>
        </w:rPr>
        <w:t>maruziyeti böbrek fonksiyonları normal hastalarda</w:t>
      </w:r>
      <w:r w:rsidR="00C325A2" w:rsidRPr="004B3EB9">
        <w:rPr>
          <w:rFonts w:ascii="Times New Roman" w:hAnsi="Times New Roman"/>
          <w:sz w:val="24"/>
          <w:szCs w:val="24"/>
        </w:rPr>
        <w:t>ki</w:t>
      </w:r>
      <w:r w:rsidR="00396DF1" w:rsidRPr="004B3EB9">
        <w:rPr>
          <w:rFonts w:ascii="Times New Roman" w:hAnsi="Times New Roman"/>
          <w:sz w:val="24"/>
          <w:szCs w:val="24"/>
        </w:rPr>
        <w:t xml:space="preserve">nden daha yüksek görünmektedir (muhtemelen, imatinib-bağlayıcı bir protein olan alfa-asit glikoprotein (AGP) plazma düzeylerinin bu hastalarda daha yüksek olması nedeniyle). </w:t>
      </w:r>
      <w:r w:rsidR="000646A4" w:rsidRPr="004B3EB9">
        <w:rPr>
          <w:rFonts w:ascii="Times New Roman" w:hAnsi="Times New Roman"/>
          <w:sz w:val="24"/>
          <w:szCs w:val="24"/>
        </w:rPr>
        <w:t>K</w:t>
      </w:r>
      <w:r w:rsidR="00396DF1" w:rsidRPr="004B3EB9">
        <w:rPr>
          <w:rFonts w:ascii="Times New Roman" w:hAnsi="Times New Roman"/>
          <w:sz w:val="24"/>
          <w:szCs w:val="24"/>
        </w:rPr>
        <w:t>rCL ölçümü ile sınıflandı</w:t>
      </w:r>
      <w:r w:rsidR="00C325A2" w:rsidRPr="004B3EB9">
        <w:rPr>
          <w:rFonts w:ascii="Times New Roman" w:hAnsi="Times New Roman"/>
          <w:sz w:val="24"/>
          <w:szCs w:val="24"/>
        </w:rPr>
        <w:t>rı</w:t>
      </w:r>
      <w:r w:rsidR="00396DF1" w:rsidRPr="004B3EB9">
        <w:rPr>
          <w:rFonts w:ascii="Times New Roman" w:hAnsi="Times New Roman"/>
          <w:sz w:val="24"/>
          <w:szCs w:val="24"/>
        </w:rPr>
        <w:t xml:space="preserve">ldığında, hafif (KrCL: 40-59 ml/dakika) ve şiddetli (KrCL: &lt; 20 ml/dakika) böbrek bozukluğu olan hastalar arasında maruz </w:t>
      </w:r>
      <w:r w:rsidR="004A2419" w:rsidRPr="004B3EB9">
        <w:rPr>
          <w:rFonts w:ascii="Times New Roman" w:hAnsi="Times New Roman"/>
          <w:sz w:val="24"/>
          <w:szCs w:val="24"/>
        </w:rPr>
        <w:t>kalınan</w:t>
      </w:r>
      <w:r w:rsidR="00396DF1" w:rsidRPr="004B3EB9">
        <w:rPr>
          <w:rFonts w:ascii="Times New Roman" w:hAnsi="Times New Roman"/>
          <w:sz w:val="24"/>
          <w:szCs w:val="24"/>
        </w:rPr>
        <w:t xml:space="preserve"> imatinib ile böbrek bozukluğunun derecesi arasında herhangi bir </w:t>
      </w:r>
      <w:proofErr w:type="gramStart"/>
      <w:r w:rsidR="00396DF1" w:rsidRPr="004B3EB9">
        <w:rPr>
          <w:rFonts w:ascii="Times New Roman" w:hAnsi="Times New Roman"/>
          <w:sz w:val="24"/>
          <w:szCs w:val="24"/>
        </w:rPr>
        <w:t>korelasyon</w:t>
      </w:r>
      <w:proofErr w:type="gramEnd"/>
      <w:r w:rsidR="00396DF1" w:rsidRPr="004B3EB9">
        <w:rPr>
          <w:rFonts w:ascii="Times New Roman" w:hAnsi="Times New Roman"/>
          <w:sz w:val="24"/>
          <w:szCs w:val="24"/>
        </w:rPr>
        <w:t xml:space="preserve"> yoktur. Ancak, </w:t>
      </w:r>
      <w:proofErr w:type="gramStart"/>
      <w:r w:rsidR="00396DF1" w:rsidRPr="004B3EB9">
        <w:rPr>
          <w:rFonts w:ascii="Times New Roman" w:hAnsi="Times New Roman"/>
          <w:sz w:val="24"/>
          <w:szCs w:val="24"/>
        </w:rPr>
        <w:t>4.2</w:t>
      </w:r>
      <w:proofErr w:type="gramEnd"/>
      <w:r w:rsidR="00396DF1" w:rsidRPr="004B3EB9">
        <w:rPr>
          <w:rFonts w:ascii="Times New Roman" w:hAnsi="Times New Roman"/>
          <w:sz w:val="24"/>
          <w:szCs w:val="24"/>
        </w:rPr>
        <w:t xml:space="preserve"> Pozoloji ve uygulama şekli bölümünde önerildiği gibi, tolere edilemezse imatinib başlangıç dozu düşürülebilir.</w:t>
      </w:r>
    </w:p>
    <w:p w:rsidR="00FA40FF" w:rsidRDefault="00FA40FF" w:rsidP="00C86B5D">
      <w:pPr>
        <w:spacing w:after="0"/>
        <w:jc w:val="both"/>
        <w:rPr>
          <w:rFonts w:ascii="Times New Roman" w:hAnsi="Times New Roman"/>
          <w:sz w:val="24"/>
          <w:szCs w:val="24"/>
        </w:rPr>
      </w:pPr>
    </w:p>
    <w:p w:rsidR="008B6554" w:rsidRDefault="008B6554" w:rsidP="00C86B5D">
      <w:pPr>
        <w:spacing w:after="0"/>
        <w:jc w:val="both"/>
        <w:rPr>
          <w:rFonts w:ascii="Times New Roman" w:hAnsi="Times New Roman"/>
          <w:sz w:val="24"/>
          <w:szCs w:val="24"/>
        </w:rPr>
      </w:pPr>
    </w:p>
    <w:p w:rsidR="00532131" w:rsidRDefault="00532131" w:rsidP="00C86B5D">
      <w:pPr>
        <w:spacing w:after="0"/>
        <w:jc w:val="both"/>
        <w:rPr>
          <w:rFonts w:ascii="Times New Roman" w:hAnsi="Times New Roman"/>
          <w:sz w:val="24"/>
          <w:szCs w:val="24"/>
        </w:rPr>
      </w:pPr>
      <w:r>
        <w:rPr>
          <w:rFonts w:ascii="Times New Roman" w:hAnsi="Times New Roman"/>
          <w:sz w:val="24"/>
          <w:szCs w:val="24"/>
        </w:rPr>
        <w:t>Çocuklar ve ergenler:</w:t>
      </w:r>
    </w:p>
    <w:p w:rsidR="00532131" w:rsidRDefault="00532131" w:rsidP="00C86B5D">
      <w:pPr>
        <w:spacing w:after="0"/>
        <w:jc w:val="both"/>
        <w:rPr>
          <w:rFonts w:ascii="Times New Roman" w:hAnsi="Times New Roman"/>
          <w:sz w:val="24"/>
          <w:szCs w:val="24"/>
        </w:rPr>
      </w:pPr>
      <w:r>
        <w:rPr>
          <w:rFonts w:ascii="Times New Roman" w:hAnsi="Times New Roman"/>
          <w:sz w:val="24"/>
          <w:szCs w:val="24"/>
        </w:rPr>
        <w:t>İmatinib kullanan çocuklar ve ergenlik öncesi dönemdeki kişilerde büyüme geriliği raporlanmıştır. Uzun süreli imatinib tedavisinin çocukların gelişimi üzerinde uzun dönem etkileri bilinmemektedir. Bu nedenle imatinib tedavisi gören çocukların yakından takip edilmesi önerilir.</w:t>
      </w:r>
    </w:p>
    <w:p w:rsidR="00532131" w:rsidRPr="004B3EB9" w:rsidRDefault="00532131"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4.5.</w:t>
      </w:r>
      <w:r w:rsidR="00791617" w:rsidRPr="004B3EB9">
        <w:rPr>
          <w:rFonts w:ascii="Times New Roman" w:hAnsi="Times New Roman"/>
          <w:b/>
          <w:bCs/>
          <w:sz w:val="24"/>
          <w:szCs w:val="24"/>
        </w:rPr>
        <w:t xml:space="preserve"> </w:t>
      </w:r>
      <w:r w:rsidRPr="004B3EB9">
        <w:rPr>
          <w:rFonts w:ascii="Times New Roman" w:hAnsi="Times New Roman"/>
          <w:b/>
          <w:bCs/>
          <w:sz w:val="24"/>
          <w:szCs w:val="24"/>
        </w:rPr>
        <w:t>Diğer tıbbi ürünler ile etkileşimler ve diğer etkileşim şekilleri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 xml:space="preserve">İmatinibin plazma </w:t>
      </w:r>
      <w:proofErr w:type="gramStart"/>
      <w:r w:rsidRPr="004B3EB9">
        <w:rPr>
          <w:rFonts w:ascii="Times New Roman" w:hAnsi="Times New Roman"/>
          <w:b/>
          <w:bCs/>
          <w:sz w:val="24"/>
          <w:szCs w:val="24"/>
        </w:rPr>
        <w:t>konsantrasyonlarını</w:t>
      </w:r>
      <w:proofErr w:type="gramEnd"/>
      <w:r w:rsidRPr="004B3EB9">
        <w:rPr>
          <w:rFonts w:ascii="Times New Roman" w:hAnsi="Times New Roman"/>
          <w:b/>
          <w:bCs/>
          <w:sz w:val="24"/>
          <w:szCs w:val="24"/>
        </w:rPr>
        <w:t xml:space="preserve"> değiştiren ilaçlar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 xml:space="preserve">İmatinibin plazma </w:t>
      </w:r>
      <w:proofErr w:type="gramStart"/>
      <w:r w:rsidRPr="004B3EB9">
        <w:rPr>
          <w:rFonts w:ascii="Times New Roman" w:hAnsi="Times New Roman"/>
          <w:b/>
          <w:bCs/>
          <w:sz w:val="24"/>
          <w:szCs w:val="24"/>
        </w:rPr>
        <w:t>konsantrasyonlarını</w:t>
      </w:r>
      <w:proofErr w:type="gramEnd"/>
      <w:r w:rsidRPr="004B3EB9">
        <w:rPr>
          <w:rFonts w:ascii="Times New Roman" w:hAnsi="Times New Roman"/>
          <w:b/>
          <w:bCs/>
          <w:sz w:val="24"/>
          <w:szCs w:val="24"/>
        </w:rPr>
        <w:t xml:space="preserve"> arttırabilen ilaçlar: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Sitokrom P450 izoenzimlerinden CYP3A4 aktivitesini inhibe eden maddeler (örn. </w:t>
      </w:r>
      <w:r w:rsidR="006478FB">
        <w:rPr>
          <w:rFonts w:ascii="Times New Roman" w:hAnsi="Times New Roman"/>
          <w:sz w:val="24"/>
          <w:szCs w:val="24"/>
        </w:rPr>
        <w:t xml:space="preserve">indinavir, lopinavir/ritonavir, ritonavir, sakinavir, telaprevir, nelfinavir ve boseprevir gibi proteaz inhibitörleri; </w:t>
      </w:r>
      <w:r w:rsidRPr="004B3EB9">
        <w:rPr>
          <w:rFonts w:ascii="Times New Roman" w:hAnsi="Times New Roman"/>
          <w:sz w:val="24"/>
          <w:szCs w:val="24"/>
        </w:rPr>
        <w:t xml:space="preserve">ketokonazol, itrakonazol, </w:t>
      </w:r>
      <w:r w:rsidR="006478FB">
        <w:rPr>
          <w:rFonts w:ascii="Times New Roman" w:hAnsi="Times New Roman"/>
          <w:sz w:val="24"/>
          <w:szCs w:val="24"/>
        </w:rPr>
        <w:t xml:space="preserve">posakonazol ve varikonazol gibi azol antifungal ajanlar; </w:t>
      </w:r>
      <w:r w:rsidRPr="004B3EB9">
        <w:rPr>
          <w:rFonts w:ascii="Times New Roman" w:hAnsi="Times New Roman"/>
          <w:sz w:val="24"/>
          <w:szCs w:val="24"/>
        </w:rPr>
        <w:t>eritromisin, klaritromisin</w:t>
      </w:r>
      <w:r w:rsidR="006478FB">
        <w:rPr>
          <w:rFonts w:ascii="Times New Roman" w:hAnsi="Times New Roman"/>
          <w:sz w:val="24"/>
          <w:szCs w:val="24"/>
        </w:rPr>
        <w:t xml:space="preserve"> ve telitromisin gibi belirli makrolidler</w:t>
      </w:r>
      <w:r w:rsidRPr="004B3EB9">
        <w:rPr>
          <w:rFonts w:ascii="Times New Roman" w:hAnsi="Times New Roman"/>
          <w:sz w:val="24"/>
          <w:szCs w:val="24"/>
        </w:rPr>
        <w:t xml:space="preserve">) metabolizmayı azaltabilir ve imatinib </w:t>
      </w:r>
      <w:proofErr w:type="gramStart"/>
      <w:r w:rsidRPr="004B3EB9">
        <w:rPr>
          <w:rFonts w:ascii="Times New Roman" w:hAnsi="Times New Roman"/>
          <w:sz w:val="24"/>
          <w:szCs w:val="24"/>
        </w:rPr>
        <w:t>konsantrasyonları</w:t>
      </w:r>
      <w:r w:rsidR="001C0942" w:rsidRPr="004B3EB9">
        <w:rPr>
          <w:rFonts w:ascii="Times New Roman" w:hAnsi="Times New Roman"/>
          <w:sz w:val="24"/>
          <w:szCs w:val="24"/>
        </w:rPr>
        <w:t>nı</w:t>
      </w:r>
      <w:proofErr w:type="gramEnd"/>
      <w:r w:rsidRPr="004B3EB9">
        <w:rPr>
          <w:rFonts w:ascii="Times New Roman" w:hAnsi="Times New Roman"/>
          <w:sz w:val="24"/>
          <w:szCs w:val="24"/>
        </w:rPr>
        <w:t xml:space="preserve"> arttırabilirler. Sağlıklı deneklere tek doz ketokonazol (bir CYP3A4 inhibitörü) ile birlikte uygulandığında, imatinibe maruz kalma durumunda anlamlı bir artış ortaya çıkmıştır (imatinibin ortalama </w:t>
      </w:r>
      <w:r w:rsidRPr="00FF7489">
        <w:rPr>
          <w:rFonts w:ascii="Times New Roman" w:hAnsi="Times New Roman"/>
          <w:iCs/>
          <w:sz w:val="24"/>
          <w:szCs w:val="24"/>
        </w:rPr>
        <w:t>C</w:t>
      </w:r>
      <w:r w:rsidRPr="00FF7489">
        <w:rPr>
          <w:rFonts w:ascii="Times New Roman" w:hAnsi="Times New Roman"/>
          <w:iCs/>
          <w:sz w:val="24"/>
          <w:szCs w:val="24"/>
          <w:vertAlign w:val="subscript"/>
        </w:rPr>
        <w:t>maks</w:t>
      </w:r>
      <w:r w:rsidRPr="004B3EB9">
        <w:rPr>
          <w:rFonts w:ascii="Times New Roman" w:hAnsi="Times New Roman"/>
          <w:i/>
          <w:iCs/>
          <w:sz w:val="24"/>
          <w:szCs w:val="24"/>
        </w:rPr>
        <w:t xml:space="preserve"> </w:t>
      </w:r>
      <w:r w:rsidRPr="004B3EB9">
        <w:rPr>
          <w:rFonts w:ascii="Times New Roman" w:hAnsi="Times New Roman"/>
          <w:sz w:val="24"/>
          <w:szCs w:val="24"/>
        </w:rPr>
        <w:t xml:space="preserve">ve EAA değerleri sırasıyla % 26 ve % 40 artmıştır). </w:t>
      </w:r>
      <w:r w:rsidR="009E236D" w:rsidRPr="004B3EB9">
        <w:rPr>
          <w:rFonts w:ascii="Times New Roman" w:hAnsi="Times New Roman"/>
          <w:sz w:val="24"/>
          <w:szCs w:val="24"/>
        </w:rPr>
        <w:t>İMATİS</w:t>
      </w:r>
      <w:r w:rsidRPr="004B3EB9">
        <w:rPr>
          <w:rFonts w:ascii="Times New Roman" w:hAnsi="Times New Roman"/>
          <w:sz w:val="24"/>
          <w:szCs w:val="24"/>
        </w:rPr>
        <w:t>, CYP3A4 izoziminin inhibitörleri ile birlikte verilirken dikkatli olunmalıdır.</w:t>
      </w:r>
    </w:p>
    <w:p w:rsidR="00C52470" w:rsidRPr="004B3EB9" w:rsidRDefault="00C52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İmatinibin plazma</w:t>
      </w:r>
      <w:r w:rsidR="00C325A2" w:rsidRPr="004B3EB9">
        <w:rPr>
          <w:rFonts w:ascii="Times New Roman" w:hAnsi="Times New Roman"/>
          <w:b/>
          <w:bCs/>
          <w:sz w:val="24"/>
          <w:szCs w:val="24"/>
        </w:rPr>
        <w:t xml:space="preserve"> </w:t>
      </w:r>
      <w:proofErr w:type="gramStart"/>
      <w:r w:rsidR="00C325A2" w:rsidRPr="004B3EB9">
        <w:rPr>
          <w:rFonts w:ascii="Times New Roman" w:hAnsi="Times New Roman"/>
          <w:b/>
          <w:bCs/>
          <w:sz w:val="24"/>
          <w:szCs w:val="24"/>
        </w:rPr>
        <w:t>konsantrasyonlarını</w:t>
      </w:r>
      <w:proofErr w:type="gramEnd"/>
      <w:r w:rsidR="00C325A2" w:rsidRPr="004B3EB9">
        <w:rPr>
          <w:rFonts w:ascii="Times New Roman" w:hAnsi="Times New Roman"/>
          <w:b/>
          <w:bCs/>
          <w:sz w:val="24"/>
          <w:szCs w:val="24"/>
        </w:rPr>
        <w:t xml:space="preserve"> azaltabilen</w:t>
      </w:r>
      <w:r w:rsidRPr="004B3EB9">
        <w:rPr>
          <w:rFonts w:ascii="Times New Roman" w:hAnsi="Times New Roman"/>
          <w:b/>
          <w:bCs/>
          <w:sz w:val="24"/>
          <w:szCs w:val="24"/>
        </w:rPr>
        <w:t xml:space="preserve"> ilaçlar: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CYP3A4 aktivitesini uyaran maddeler </w:t>
      </w:r>
      <w:proofErr w:type="gramStart"/>
      <w:r w:rsidRPr="004B3EB9">
        <w:rPr>
          <w:rFonts w:ascii="Times New Roman" w:hAnsi="Times New Roman"/>
          <w:sz w:val="24"/>
          <w:szCs w:val="24"/>
        </w:rPr>
        <w:t>(</w:t>
      </w:r>
      <w:proofErr w:type="gramEnd"/>
      <w:r w:rsidRPr="004B3EB9">
        <w:rPr>
          <w:rFonts w:ascii="Times New Roman" w:hAnsi="Times New Roman"/>
          <w:sz w:val="24"/>
          <w:szCs w:val="24"/>
        </w:rPr>
        <w:t>örn. deksametazon, fenitoin, karbamazepin, rifampisin, fenobarbital</w:t>
      </w:r>
      <w:r w:rsidR="0033310F">
        <w:rPr>
          <w:rFonts w:ascii="Times New Roman" w:hAnsi="Times New Roman"/>
          <w:sz w:val="24"/>
          <w:szCs w:val="24"/>
        </w:rPr>
        <w:t>, fosfenitoin, pirimidon</w:t>
      </w:r>
      <w:r w:rsidRPr="004B3EB9">
        <w:rPr>
          <w:rFonts w:ascii="Times New Roman" w:hAnsi="Times New Roman"/>
          <w:sz w:val="24"/>
          <w:szCs w:val="24"/>
        </w:rPr>
        <w:t xml:space="preserve"> ya da St. John</w:t>
      </w:r>
      <w:r w:rsidR="00F54064">
        <w:rPr>
          <w:rFonts w:ascii="Times New Roman" w:hAnsi="Times New Roman"/>
          <w:sz w:val="24"/>
          <w:szCs w:val="24"/>
        </w:rPr>
        <w:t>’</w:t>
      </w:r>
      <w:r w:rsidRPr="004B3EB9">
        <w:rPr>
          <w:rFonts w:ascii="Times New Roman" w:hAnsi="Times New Roman"/>
          <w:sz w:val="24"/>
          <w:szCs w:val="24"/>
        </w:rPr>
        <w:t>s Worth olarak da bilinen hypericum perforatum</w:t>
      </w:r>
      <w:proofErr w:type="gramStart"/>
      <w:r w:rsidRPr="004B3EB9">
        <w:rPr>
          <w:rFonts w:ascii="Times New Roman" w:hAnsi="Times New Roman"/>
          <w:sz w:val="24"/>
          <w:szCs w:val="24"/>
        </w:rPr>
        <w:t>)</w:t>
      </w:r>
      <w:proofErr w:type="gramEnd"/>
      <w:r w:rsidRPr="004B3EB9">
        <w:rPr>
          <w:rFonts w:ascii="Times New Roman" w:hAnsi="Times New Roman"/>
          <w:sz w:val="24"/>
          <w:szCs w:val="24"/>
        </w:rPr>
        <w:t xml:space="preserve"> eşzamanlı uygulama </w:t>
      </w:r>
      <w:r w:rsidR="008B5727" w:rsidRPr="004B3EB9">
        <w:rPr>
          <w:rFonts w:ascii="Times New Roman" w:hAnsi="Times New Roman"/>
          <w:sz w:val="24"/>
          <w:szCs w:val="24"/>
        </w:rPr>
        <w:t>İMATİS</w:t>
      </w:r>
      <w:r w:rsidR="00F54064">
        <w:rPr>
          <w:rFonts w:ascii="Times New Roman" w:hAnsi="Times New Roman"/>
          <w:sz w:val="24"/>
          <w:szCs w:val="24"/>
        </w:rPr>
        <w:t>’</w:t>
      </w:r>
      <w:r w:rsidRPr="004B3EB9">
        <w:rPr>
          <w:rFonts w:ascii="Times New Roman" w:hAnsi="Times New Roman"/>
          <w:sz w:val="24"/>
          <w:szCs w:val="24"/>
        </w:rPr>
        <w:t xml:space="preserve">e maruz kalmayı azaltabilir. Sağlıklı 14 gönüllünün 8 gün boyunca günde 600 mg rifampisin kullanmasından sonra verilen, 400 miligramlık tek doz </w:t>
      </w:r>
      <w:r w:rsidR="002E4B03" w:rsidRPr="004B3EB9">
        <w:rPr>
          <w:rFonts w:ascii="Times New Roman" w:hAnsi="Times New Roman"/>
          <w:sz w:val="24"/>
          <w:szCs w:val="24"/>
        </w:rPr>
        <w:t>imatinib</w:t>
      </w:r>
      <w:r w:rsidRPr="004B3EB9">
        <w:rPr>
          <w:rFonts w:ascii="Times New Roman" w:hAnsi="Times New Roman"/>
          <w:sz w:val="24"/>
          <w:szCs w:val="24"/>
        </w:rPr>
        <w:t xml:space="preserve">, oral doz klerensini 3.8 kat artırmıştır (%90 güven </w:t>
      </w:r>
      <w:proofErr w:type="gramStart"/>
      <w:r w:rsidRPr="004B3EB9">
        <w:rPr>
          <w:rFonts w:ascii="Times New Roman" w:hAnsi="Times New Roman"/>
          <w:sz w:val="24"/>
          <w:szCs w:val="24"/>
        </w:rPr>
        <w:t>aralığı</w:t>
      </w:r>
      <w:proofErr w:type="gramEnd"/>
      <w:r w:rsidRPr="004B3EB9">
        <w:rPr>
          <w:rFonts w:ascii="Times New Roman" w:hAnsi="Times New Roman"/>
          <w:sz w:val="24"/>
          <w:szCs w:val="24"/>
        </w:rPr>
        <w:t xml:space="preserve"> 3.5-4.5). Bu artış, ortalama C</w:t>
      </w:r>
      <w:r w:rsidRPr="004B3EB9">
        <w:rPr>
          <w:rFonts w:ascii="Times New Roman" w:hAnsi="Times New Roman"/>
          <w:sz w:val="24"/>
          <w:szCs w:val="24"/>
          <w:vertAlign w:val="subscript"/>
        </w:rPr>
        <w:t>maks</w:t>
      </w:r>
      <w:r w:rsidRPr="004B3EB9">
        <w:rPr>
          <w:rFonts w:ascii="Times New Roman" w:hAnsi="Times New Roman"/>
          <w:sz w:val="24"/>
          <w:szCs w:val="24"/>
        </w:rPr>
        <w:t>, EAA</w:t>
      </w:r>
      <w:r w:rsidRPr="004B3EB9">
        <w:rPr>
          <w:rFonts w:ascii="Times New Roman" w:hAnsi="Times New Roman"/>
          <w:sz w:val="24"/>
          <w:szCs w:val="24"/>
          <w:vertAlign w:val="subscript"/>
        </w:rPr>
        <w:t>(0</w:t>
      </w:r>
      <w:r w:rsidR="00610A07" w:rsidRPr="004B3EB9">
        <w:rPr>
          <w:rFonts w:ascii="Times New Roman" w:hAnsi="Times New Roman"/>
          <w:sz w:val="24"/>
          <w:szCs w:val="24"/>
          <w:vertAlign w:val="subscript"/>
        </w:rPr>
        <w:t>-</w:t>
      </w:r>
      <w:r w:rsidRPr="004B3EB9">
        <w:rPr>
          <w:rFonts w:ascii="Times New Roman" w:hAnsi="Times New Roman"/>
          <w:sz w:val="24"/>
          <w:szCs w:val="24"/>
          <w:vertAlign w:val="subscript"/>
        </w:rPr>
        <w:t xml:space="preserve">24 </w:t>
      </w:r>
      <w:r w:rsidR="00610A07" w:rsidRPr="004B3EB9">
        <w:rPr>
          <w:rFonts w:ascii="Times New Roman" w:hAnsi="Times New Roman"/>
          <w:sz w:val="24"/>
          <w:szCs w:val="24"/>
          <w:vertAlign w:val="subscript"/>
        </w:rPr>
        <w:t>sa</w:t>
      </w:r>
      <w:r w:rsidRPr="004B3EB9">
        <w:rPr>
          <w:rFonts w:ascii="Times New Roman" w:hAnsi="Times New Roman"/>
          <w:sz w:val="24"/>
          <w:szCs w:val="24"/>
          <w:vertAlign w:val="subscript"/>
        </w:rPr>
        <w:t>at)</w:t>
      </w:r>
      <w:r w:rsidRPr="004B3EB9">
        <w:rPr>
          <w:rFonts w:ascii="Times New Roman" w:hAnsi="Times New Roman"/>
          <w:sz w:val="24"/>
          <w:szCs w:val="24"/>
        </w:rPr>
        <w:t xml:space="preserve"> ve EAA </w:t>
      </w:r>
      <w:r w:rsidRPr="004B3EB9">
        <w:rPr>
          <w:rFonts w:ascii="Times New Roman" w:hAnsi="Times New Roman"/>
          <w:sz w:val="24"/>
          <w:szCs w:val="24"/>
          <w:vertAlign w:val="subscript"/>
        </w:rPr>
        <w:t>(</w:t>
      </w:r>
      <w:r w:rsidR="00610A07" w:rsidRPr="004B3EB9">
        <w:rPr>
          <w:rFonts w:ascii="Times New Roman" w:hAnsi="Times New Roman"/>
          <w:sz w:val="24"/>
          <w:szCs w:val="24"/>
          <w:vertAlign w:val="subscript"/>
        </w:rPr>
        <w:t>0</w:t>
      </w:r>
      <w:r w:rsidRPr="004B3EB9">
        <w:rPr>
          <w:rFonts w:ascii="Times New Roman" w:hAnsi="Times New Roman"/>
          <w:sz w:val="24"/>
          <w:szCs w:val="24"/>
          <w:vertAlign w:val="subscript"/>
        </w:rPr>
        <w:t>-</w:t>
      </w:r>
      <w:r w:rsidR="00610A07" w:rsidRPr="004B3EB9">
        <w:rPr>
          <w:rFonts w:ascii="Times New Roman" w:hAnsi="Times New Roman"/>
          <w:sz w:val="24"/>
          <w:szCs w:val="24"/>
          <w:vertAlign w:val="subscript"/>
        </w:rPr>
        <w:t>∞</w:t>
      </w:r>
      <w:r w:rsidRPr="004B3EB9">
        <w:rPr>
          <w:rFonts w:ascii="Times New Roman" w:hAnsi="Times New Roman"/>
          <w:sz w:val="24"/>
          <w:szCs w:val="24"/>
          <w:vertAlign w:val="subscript"/>
        </w:rPr>
        <w:t>)</w:t>
      </w:r>
      <w:r w:rsidRPr="004B3EB9">
        <w:rPr>
          <w:rFonts w:ascii="Times New Roman" w:hAnsi="Times New Roman"/>
          <w:sz w:val="24"/>
          <w:szCs w:val="24"/>
        </w:rPr>
        <w:t xml:space="preserve"> değerlerinin, daha önce rifampin kullanılmamasına kıyasla sırasıyla %54, %68 ve %74 azalması demektir. Karbamazepin, okskarbazepin, fenitoin, fosfenitoin, fenobarbital ve primidon gibi enzim indükleyici anti-epileptik ilaçlar (AEİ) kullanırken </w:t>
      </w:r>
      <w:r w:rsidR="002E4B03" w:rsidRPr="004B3EB9">
        <w:rPr>
          <w:rFonts w:ascii="Times New Roman" w:hAnsi="Times New Roman"/>
          <w:sz w:val="24"/>
          <w:szCs w:val="24"/>
        </w:rPr>
        <w:t>imatinib</w:t>
      </w:r>
      <w:r w:rsidRPr="004B3EB9">
        <w:rPr>
          <w:rFonts w:ascii="Times New Roman" w:hAnsi="Times New Roman"/>
          <w:sz w:val="24"/>
          <w:szCs w:val="24"/>
        </w:rPr>
        <w:t xml:space="preserve"> ile tedavi edilen malign gliyomlu hastalarda da benzer sonuçlar gözlenmiştir. İmatinib için plazma EAA değeri, AEİ</w:t>
      </w:r>
      <w:r w:rsidR="00F54064">
        <w:rPr>
          <w:rFonts w:ascii="Times New Roman" w:hAnsi="Times New Roman"/>
          <w:sz w:val="24"/>
          <w:szCs w:val="24"/>
        </w:rPr>
        <w:t>’</w:t>
      </w:r>
      <w:r w:rsidRPr="004B3EB9">
        <w:rPr>
          <w:rFonts w:ascii="Times New Roman" w:hAnsi="Times New Roman"/>
          <w:sz w:val="24"/>
          <w:szCs w:val="24"/>
        </w:rPr>
        <w:t>ler kullanmayan hastalarla karşılaştırıldığında %73 oranında azalmıştır. Yayınlanmış iki çalışmada, imatinib ve St. John</w:t>
      </w:r>
      <w:r w:rsidR="00F54064">
        <w:rPr>
          <w:rFonts w:ascii="Times New Roman" w:hAnsi="Times New Roman"/>
          <w:sz w:val="24"/>
          <w:szCs w:val="24"/>
        </w:rPr>
        <w:t>’</w:t>
      </w:r>
      <w:r w:rsidRPr="004B3EB9">
        <w:rPr>
          <w:rFonts w:ascii="Times New Roman" w:hAnsi="Times New Roman"/>
          <w:sz w:val="24"/>
          <w:szCs w:val="24"/>
        </w:rPr>
        <w:t xml:space="preserve">s Worth içeren bir ürünün birlikte uygulanması </w:t>
      </w:r>
      <w:r w:rsidR="002E4B03" w:rsidRPr="004B3EB9">
        <w:rPr>
          <w:rFonts w:ascii="Times New Roman" w:hAnsi="Times New Roman"/>
          <w:sz w:val="24"/>
          <w:szCs w:val="24"/>
        </w:rPr>
        <w:t>imatinib</w:t>
      </w:r>
      <w:r w:rsidRPr="004B3EB9">
        <w:rPr>
          <w:rFonts w:ascii="Times New Roman" w:hAnsi="Times New Roman"/>
          <w:sz w:val="24"/>
          <w:szCs w:val="24"/>
        </w:rPr>
        <w:t xml:space="preserve"> EAA değerinde %30-32</w:t>
      </w:r>
      <w:r w:rsidR="00F54064">
        <w:rPr>
          <w:rFonts w:ascii="Times New Roman" w:hAnsi="Times New Roman"/>
          <w:sz w:val="24"/>
          <w:szCs w:val="24"/>
        </w:rPr>
        <w:t>’</w:t>
      </w:r>
      <w:r w:rsidRPr="004B3EB9">
        <w:rPr>
          <w:rFonts w:ascii="Times New Roman" w:hAnsi="Times New Roman"/>
          <w:sz w:val="24"/>
          <w:szCs w:val="24"/>
        </w:rPr>
        <w:t>lik bir azalmaya yol açmıştır.</w:t>
      </w:r>
      <w:r w:rsidR="00C325A2" w:rsidRPr="004B3EB9">
        <w:rPr>
          <w:rFonts w:ascii="Times New Roman" w:hAnsi="Times New Roman"/>
          <w:sz w:val="24"/>
          <w:szCs w:val="24"/>
        </w:rPr>
        <w:t xml:space="preserve"> </w:t>
      </w:r>
      <w:r w:rsidRPr="004B3EB9">
        <w:rPr>
          <w:rFonts w:ascii="Times New Roman" w:hAnsi="Times New Roman"/>
          <w:sz w:val="24"/>
          <w:szCs w:val="24"/>
        </w:rPr>
        <w:t>Rifampin veya CYP3A4 indüksiyonu yapan diğer ilaç</w:t>
      </w:r>
      <w:r w:rsidR="00791617" w:rsidRPr="004B3EB9">
        <w:rPr>
          <w:rFonts w:ascii="Times New Roman" w:hAnsi="Times New Roman"/>
          <w:sz w:val="24"/>
          <w:szCs w:val="24"/>
        </w:rPr>
        <w:t>ların</w:t>
      </w:r>
      <w:r w:rsidR="00C325A2" w:rsidRPr="004B3EB9">
        <w:rPr>
          <w:rFonts w:ascii="Times New Roman" w:hAnsi="Times New Roman"/>
          <w:sz w:val="24"/>
          <w:szCs w:val="24"/>
        </w:rPr>
        <w:t xml:space="preserve"> kullanı</w:t>
      </w:r>
      <w:r w:rsidRPr="004B3EB9">
        <w:rPr>
          <w:rFonts w:ascii="Times New Roman" w:hAnsi="Times New Roman"/>
          <w:sz w:val="24"/>
          <w:szCs w:val="24"/>
        </w:rPr>
        <w:t>lmasına ihtiyaç olduğunda, enzim indüksiyon potansiyeli daha az olan, başka ilaç</w:t>
      </w:r>
      <w:r w:rsidR="00791617" w:rsidRPr="004B3EB9">
        <w:rPr>
          <w:rFonts w:ascii="Times New Roman" w:hAnsi="Times New Roman"/>
          <w:sz w:val="24"/>
          <w:szCs w:val="24"/>
        </w:rPr>
        <w:t>ların</w:t>
      </w:r>
      <w:r w:rsidRPr="004B3EB9">
        <w:rPr>
          <w:rFonts w:ascii="Times New Roman" w:hAnsi="Times New Roman"/>
          <w:sz w:val="24"/>
          <w:szCs w:val="24"/>
        </w:rPr>
        <w:t xml:space="preserve"> kullanılması düşünülmelidir.</w:t>
      </w:r>
    </w:p>
    <w:p w:rsidR="00F36470" w:rsidRPr="004B3EB9" w:rsidRDefault="00F36470" w:rsidP="00C86B5D">
      <w:pPr>
        <w:spacing w:after="0"/>
        <w:jc w:val="both"/>
        <w:rPr>
          <w:rFonts w:ascii="Times New Roman" w:hAnsi="Times New Roman"/>
          <w:sz w:val="24"/>
          <w:szCs w:val="24"/>
        </w:rPr>
      </w:pPr>
    </w:p>
    <w:p w:rsidR="00396DF1" w:rsidRPr="004B3EB9" w:rsidRDefault="002E4B03" w:rsidP="00C86B5D">
      <w:pPr>
        <w:spacing w:after="0"/>
        <w:jc w:val="both"/>
        <w:rPr>
          <w:rFonts w:ascii="Times New Roman" w:hAnsi="Times New Roman"/>
          <w:sz w:val="24"/>
          <w:szCs w:val="24"/>
        </w:rPr>
      </w:pPr>
      <w:r w:rsidRPr="004B3EB9">
        <w:rPr>
          <w:rFonts w:ascii="Times New Roman" w:hAnsi="Times New Roman"/>
          <w:b/>
          <w:bCs/>
          <w:sz w:val="24"/>
          <w:szCs w:val="24"/>
        </w:rPr>
        <w:t>İmatinib</w:t>
      </w:r>
      <w:r w:rsidR="00396DF1" w:rsidRPr="004B3EB9">
        <w:rPr>
          <w:rFonts w:ascii="Times New Roman" w:hAnsi="Times New Roman"/>
          <w:b/>
          <w:bCs/>
          <w:sz w:val="24"/>
          <w:szCs w:val="24"/>
        </w:rPr>
        <w:t xml:space="preserve"> ile plazma </w:t>
      </w:r>
      <w:proofErr w:type="gramStart"/>
      <w:r w:rsidR="00396DF1" w:rsidRPr="004B3EB9">
        <w:rPr>
          <w:rFonts w:ascii="Times New Roman" w:hAnsi="Times New Roman"/>
          <w:b/>
          <w:bCs/>
          <w:sz w:val="24"/>
          <w:szCs w:val="24"/>
        </w:rPr>
        <w:t>konsantrasyonu</w:t>
      </w:r>
      <w:proofErr w:type="gramEnd"/>
      <w:r w:rsidR="00396DF1" w:rsidRPr="004B3EB9">
        <w:rPr>
          <w:rFonts w:ascii="Times New Roman" w:hAnsi="Times New Roman"/>
          <w:b/>
          <w:bCs/>
          <w:sz w:val="24"/>
          <w:szCs w:val="24"/>
        </w:rPr>
        <w:t xml:space="preserve"> değişebilen ilaçlar</w:t>
      </w:r>
      <w:r w:rsidR="00396DF1" w:rsidRPr="004B3EB9">
        <w:rPr>
          <w:rFonts w:ascii="Times New Roman" w:hAnsi="Times New Roman"/>
          <w:b/>
          <w:sz w:val="24"/>
          <w:szCs w:val="24"/>
        </w:rPr>
        <w:t>:</w:t>
      </w:r>
    </w:p>
    <w:p w:rsidR="00396DF1" w:rsidRPr="004B3EB9" w:rsidRDefault="00C325A2" w:rsidP="00C86B5D">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matinib, simvastatinin (CYP3A4 substratı) ortalama C</w:t>
      </w:r>
      <w:r w:rsidR="00396DF1" w:rsidRPr="004B3EB9">
        <w:rPr>
          <w:rFonts w:ascii="Times New Roman" w:hAnsi="Times New Roman"/>
          <w:sz w:val="24"/>
          <w:szCs w:val="24"/>
          <w:vertAlign w:val="subscript"/>
        </w:rPr>
        <w:t>maks</w:t>
      </w:r>
      <w:r w:rsidR="00396DF1" w:rsidRPr="004B3EB9">
        <w:rPr>
          <w:rFonts w:ascii="Times New Roman" w:hAnsi="Times New Roman"/>
          <w:sz w:val="24"/>
          <w:szCs w:val="24"/>
        </w:rPr>
        <w:t xml:space="preserve"> ve EAA değerlerini sırasıyla 2- ve </w:t>
      </w:r>
      <w:proofErr w:type="gramStart"/>
      <w:r w:rsidR="00396DF1" w:rsidRPr="004B3EB9">
        <w:rPr>
          <w:rFonts w:ascii="Times New Roman" w:hAnsi="Times New Roman"/>
          <w:sz w:val="24"/>
          <w:szCs w:val="24"/>
        </w:rPr>
        <w:t>3.5</w:t>
      </w:r>
      <w:proofErr w:type="gramEnd"/>
      <w:r w:rsidR="00396DF1" w:rsidRPr="004B3EB9">
        <w:rPr>
          <w:rFonts w:ascii="Times New Roman" w:hAnsi="Times New Roman"/>
          <w:sz w:val="24"/>
          <w:szCs w:val="24"/>
        </w:rPr>
        <w:t xml:space="preserve"> kat arttırmaktadır ve bu durum CYP3A4</w:t>
      </w:r>
      <w:r w:rsidR="00F54064">
        <w:rPr>
          <w:rFonts w:ascii="Times New Roman" w:hAnsi="Times New Roman"/>
          <w:sz w:val="24"/>
          <w:szCs w:val="24"/>
        </w:rPr>
        <w:t>’</w:t>
      </w:r>
      <w:r w:rsidR="00396DF1" w:rsidRPr="004B3EB9">
        <w:rPr>
          <w:rFonts w:ascii="Times New Roman" w:hAnsi="Times New Roman"/>
          <w:sz w:val="24"/>
          <w:szCs w:val="24"/>
        </w:rPr>
        <w:t xml:space="preserve">ün imatinib tarafından inhibe edildiğini göstermektedir. Bu nedenle </w:t>
      </w:r>
      <w:r w:rsidR="002E4B03" w:rsidRPr="004B3EB9">
        <w:rPr>
          <w:rFonts w:ascii="Times New Roman" w:hAnsi="Times New Roman"/>
          <w:sz w:val="24"/>
          <w:szCs w:val="24"/>
        </w:rPr>
        <w:t>imatinib</w:t>
      </w:r>
      <w:r w:rsidR="00396DF1" w:rsidRPr="004B3EB9">
        <w:rPr>
          <w:rFonts w:ascii="Times New Roman" w:hAnsi="Times New Roman"/>
          <w:sz w:val="24"/>
          <w:szCs w:val="24"/>
        </w:rPr>
        <w:t>, dar bir terapötik pencereye sahip CYP3A4 substratla</w:t>
      </w:r>
      <w:r w:rsidRPr="004B3EB9">
        <w:rPr>
          <w:rFonts w:ascii="Times New Roman" w:hAnsi="Times New Roman"/>
          <w:sz w:val="24"/>
          <w:szCs w:val="24"/>
        </w:rPr>
        <w:t>rı</w:t>
      </w:r>
      <w:r w:rsidR="00396DF1" w:rsidRPr="004B3EB9">
        <w:rPr>
          <w:rFonts w:ascii="Times New Roman" w:hAnsi="Times New Roman"/>
          <w:sz w:val="24"/>
          <w:szCs w:val="24"/>
        </w:rPr>
        <w:t>yla (örn. siklosporin</w:t>
      </w:r>
      <w:r w:rsidR="00E82089">
        <w:rPr>
          <w:rFonts w:ascii="Times New Roman" w:hAnsi="Times New Roman"/>
          <w:sz w:val="24"/>
          <w:szCs w:val="24"/>
        </w:rPr>
        <w:t>,</w:t>
      </w:r>
      <w:r w:rsidR="00396DF1" w:rsidRPr="004B3EB9">
        <w:rPr>
          <w:rFonts w:ascii="Times New Roman" w:hAnsi="Times New Roman"/>
          <w:sz w:val="24"/>
          <w:szCs w:val="24"/>
        </w:rPr>
        <w:t xml:space="preserve"> pimozid</w:t>
      </w:r>
      <w:r w:rsidR="00E82089">
        <w:rPr>
          <w:rFonts w:ascii="Times New Roman" w:hAnsi="Times New Roman"/>
          <w:sz w:val="24"/>
          <w:szCs w:val="24"/>
        </w:rPr>
        <w:t>, takrolimus, sirolimus, ergotamin, diergotamin, fentanil, alfentanil, terfenadin, bortezomib, dosetaksel, kinidin</w:t>
      </w:r>
      <w:r w:rsidR="00396DF1" w:rsidRPr="004B3EB9">
        <w:rPr>
          <w:rFonts w:ascii="Times New Roman" w:hAnsi="Times New Roman"/>
          <w:sz w:val="24"/>
          <w:szCs w:val="24"/>
        </w:rPr>
        <w:t xml:space="preserve">) birlikte uygulandığında dikkatli olunmalıdır. </w:t>
      </w:r>
      <w:r w:rsidR="009E236D" w:rsidRPr="004B3EB9">
        <w:rPr>
          <w:rFonts w:ascii="Times New Roman" w:hAnsi="Times New Roman"/>
          <w:sz w:val="24"/>
          <w:szCs w:val="24"/>
        </w:rPr>
        <w:t>İMATİS</w:t>
      </w:r>
      <w:r w:rsidR="00396DF1" w:rsidRPr="004B3EB9">
        <w:rPr>
          <w:rFonts w:ascii="Times New Roman" w:hAnsi="Times New Roman"/>
          <w:sz w:val="24"/>
          <w:szCs w:val="24"/>
        </w:rPr>
        <w:t>, diğer CYP3A4 tarafından metabolize edilen ilaç</w:t>
      </w:r>
      <w:r w:rsidR="00791617" w:rsidRPr="004B3EB9">
        <w:rPr>
          <w:rFonts w:ascii="Times New Roman" w:hAnsi="Times New Roman"/>
          <w:sz w:val="24"/>
          <w:szCs w:val="24"/>
        </w:rPr>
        <w:t>ların</w:t>
      </w:r>
      <w:r w:rsidR="00396DF1" w:rsidRPr="004B3EB9">
        <w:rPr>
          <w:rFonts w:ascii="Times New Roman" w:hAnsi="Times New Roman"/>
          <w:sz w:val="24"/>
          <w:szCs w:val="24"/>
        </w:rPr>
        <w:t xml:space="preserve"> da plazma </w:t>
      </w:r>
      <w:proofErr w:type="gramStart"/>
      <w:r w:rsidR="00396DF1" w:rsidRPr="004B3EB9">
        <w:rPr>
          <w:rFonts w:ascii="Times New Roman" w:hAnsi="Times New Roman"/>
          <w:sz w:val="24"/>
          <w:szCs w:val="24"/>
        </w:rPr>
        <w:t>konsantrasyonunu</w:t>
      </w:r>
      <w:proofErr w:type="gramEnd"/>
      <w:r w:rsidR="00396DF1" w:rsidRPr="004B3EB9">
        <w:rPr>
          <w:rFonts w:ascii="Times New Roman" w:hAnsi="Times New Roman"/>
          <w:sz w:val="24"/>
          <w:szCs w:val="24"/>
        </w:rPr>
        <w:t xml:space="preserve"> arttırabilir (örn. triazolo-benzodiazepinler, dihidropiridin kalsiyum kanal blokörleri, bazı HMG-KoA redüktaz inhibitörleri, örn. statinler, vs.).</w:t>
      </w:r>
    </w:p>
    <w:p w:rsidR="00396DF1" w:rsidRPr="004B3EB9" w:rsidRDefault="00C325A2" w:rsidP="00C86B5D">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 xml:space="preserve">matinib, aynı zamanda in vitro olarak CYP2C9 ve CYP2C19 aktivitesini de inhibe etmektedir. </w:t>
      </w:r>
      <w:r w:rsidR="00E82089">
        <w:rPr>
          <w:rFonts w:ascii="Times New Roman" w:hAnsi="Times New Roman"/>
          <w:sz w:val="24"/>
          <w:szCs w:val="24"/>
        </w:rPr>
        <w:t>V</w:t>
      </w:r>
      <w:r w:rsidR="00E82089" w:rsidRPr="004B3EB9">
        <w:rPr>
          <w:rFonts w:ascii="Times New Roman" w:hAnsi="Times New Roman"/>
          <w:sz w:val="24"/>
          <w:szCs w:val="24"/>
        </w:rPr>
        <w:t xml:space="preserve">arfarin </w:t>
      </w:r>
      <w:r w:rsidR="00396DF1" w:rsidRPr="004B3EB9">
        <w:rPr>
          <w:rFonts w:ascii="Times New Roman" w:hAnsi="Times New Roman"/>
          <w:sz w:val="24"/>
          <w:szCs w:val="24"/>
        </w:rPr>
        <w:t xml:space="preserve">ile eşzamanlı uygulama sırasında protrombin zamanı (PZ) uzaması gözlenmiştir. Kumarinler verildiğinde </w:t>
      </w:r>
      <w:r w:rsidR="008B5727" w:rsidRPr="004B3EB9">
        <w:rPr>
          <w:rFonts w:ascii="Times New Roman" w:hAnsi="Times New Roman"/>
          <w:sz w:val="24"/>
          <w:szCs w:val="24"/>
        </w:rPr>
        <w:t>İMATİS</w:t>
      </w:r>
      <w:r w:rsidR="00396DF1" w:rsidRPr="004B3EB9">
        <w:rPr>
          <w:rFonts w:ascii="Times New Roman" w:hAnsi="Times New Roman"/>
          <w:sz w:val="24"/>
          <w:szCs w:val="24"/>
        </w:rPr>
        <w:t xml:space="preserve"> tedavisinin başında ve sonunda ve dozaj değiştirildiğinde kısa vadeli PZ takibi gereklidir. Alternatif olarak, düşük moleküler ağırlıklı heparin düşünülmelidir.</w:t>
      </w:r>
    </w:p>
    <w:p w:rsidR="00396DF1" w:rsidRPr="004B3EB9" w:rsidRDefault="00C325A2" w:rsidP="00C86B5D">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 xml:space="preserve">n vitro olarak </w:t>
      </w:r>
      <w:r w:rsidR="009E236D" w:rsidRPr="004B3EB9">
        <w:rPr>
          <w:rFonts w:ascii="Times New Roman" w:hAnsi="Times New Roman"/>
          <w:sz w:val="24"/>
          <w:szCs w:val="24"/>
        </w:rPr>
        <w:t>İMATİS</w:t>
      </w:r>
      <w:r w:rsidR="00396DF1" w:rsidRPr="004B3EB9">
        <w:rPr>
          <w:rFonts w:ascii="Times New Roman" w:hAnsi="Times New Roman"/>
          <w:sz w:val="24"/>
          <w:szCs w:val="24"/>
        </w:rPr>
        <w:t xml:space="preserve">, CYP3A4 aktivitesini etkileyen </w:t>
      </w:r>
      <w:proofErr w:type="gramStart"/>
      <w:r w:rsidR="00396DF1" w:rsidRPr="004B3EB9">
        <w:rPr>
          <w:rFonts w:ascii="Times New Roman" w:hAnsi="Times New Roman"/>
          <w:sz w:val="24"/>
          <w:szCs w:val="24"/>
        </w:rPr>
        <w:t>konsantrasyon</w:t>
      </w:r>
      <w:r w:rsidR="00791617" w:rsidRPr="004B3EB9">
        <w:rPr>
          <w:rFonts w:ascii="Times New Roman" w:hAnsi="Times New Roman"/>
          <w:sz w:val="24"/>
          <w:szCs w:val="24"/>
        </w:rPr>
        <w:t>ların</w:t>
      </w:r>
      <w:proofErr w:type="gramEnd"/>
      <w:r w:rsidR="00396DF1" w:rsidRPr="004B3EB9">
        <w:rPr>
          <w:rFonts w:ascii="Times New Roman" w:hAnsi="Times New Roman"/>
          <w:sz w:val="24"/>
          <w:szCs w:val="24"/>
        </w:rPr>
        <w:t xml:space="preserve"> benzeri konsantrasyonlarda sitokrom P450 izoenzimlerinden CYP2D6 aktivitesini de inhibe etmektedir. Günde iki kez 400 mg dozda uy</w:t>
      </w:r>
      <w:r w:rsidR="004F3870" w:rsidRPr="004B3EB9">
        <w:rPr>
          <w:rFonts w:ascii="Times New Roman" w:hAnsi="Times New Roman"/>
          <w:sz w:val="24"/>
          <w:szCs w:val="24"/>
        </w:rPr>
        <w:t>gulanan imatinibin CYP2D6-aracıl</w:t>
      </w:r>
      <w:r w:rsidR="00396DF1" w:rsidRPr="004B3EB9">
        <w:rPr>
          <w:rFonts w:ascii="Times New Roman" w:hAnsi="Times New Roman"/>
          <w:sz w:val="24"/>
          <w:szCs w:val="24"/>
        </w:rPr>
        <w:t xml:space="preserve">ı metoprolol metabolizması üzerinde zayıf bir </w:t>
      </w:r>
      <w:r w:rsidR="004F3870" w:rsidRPr="004B3EB9">
        <w:rPr>
          <w:rFonts w:ascii="Times New Roman" w:hAnsi="Times New Roman"/>
          <w:sz w:val="24"/>
          <w:szCs w:val="24"/>
        </w:rPr>
        <w:t>inhibitör</w:t>
      </w:r>
      <w:r w:rsidR="00396DF1" w:rsidRPr="004B3EB9">
        <w:rPr>
          <w:rFonts w:ascii="Times New Roman" w:hAnsi="Times New Roman"/>
          <w:sz w:val="24"/>
          <w:szCs w:val="24"/>
        </w:rPr>
        <w:t xml:space="preserve"> etkisi vardır; metoprolol C</w:t>
      </w:r>
      <w:r w:rsidR="00396DF1" w:rsidRPr="004B3EB9">
        <w:rPr>
          <w:rFonts w:ascii="Times New Roman" w:hAnsi="Times New Roman"/>
          <w:sz w:val="24"/>
          <w:szCs w:val="24"/>
          <w:vertAlign w:val="subscript"/>
        </w:rPr>
        <w:t>maks</w:t>
      </w:r>
      <w:r w:rsidR="00396DF1" w:rsidRPr="004B3EB9">
        <w:rPr>
          <w:rFonts w:ascii="Times New Roman" w:hAnsi="Times New Roman"/>
          <w:sz w:val="24"/>
          <w:szCs w:val="24"/>
        </w:rPr>
        <w:t xml:space="preserve"> ve EAA değerleri yaklaşık %23 kadar artar. Metoprolol gibi CYP2D6 substrat</w:t>
      </w:r>
      <w:r w:rsidR="00791617" w:rsidRPr="004B3EB9">
        <w:rPr>
          <w:rFonts w:ascii="Times New Roman" w:hAnsi="Times New Roman"/>
          <w:sz w:val="24"/>
          <w:szCs w:val="24"/>
        </w:rPr>
        <w:t>ların</w:t>
      </w:r>
      <w:r w:rsidR="00396DF1" w:rsidRPr="004B3EB9">
        <w:rPr>
          <w:rFonts w:ascii="Times New Roman" w:hAnsi="Times New Roman"/>
          <w:sz w:val="24"/>
          <w:szCs w:val="24"/>
        </w:rPr>
        <w:t>ın imatinib ile birlikte uygulanması, ilaç-ilaç etkileşimi açısından bir risk faktörü olarak görünmemektedir ve doz ayarlaması gerekli olmayabilir.</w:t>
      </w:r>
    </w:p>
    <w:p w:rsidR="00396DF1" w:rsidRPr="009D1FAB" w:rsidRDefault="009D1FAB" w:rsidP="00C86B5D">
      <w:pPr>
        <w:spacing w:after="0"/>
        <w:jc w:val="both"/>
        <w:rPr>
          <w:rFonts w:ascii="Times New Roman" w:hAnsi="Times New Roman"/>
          <w:sz w:val="24"/>
          <w:szCs w:val="24"/>
        </w:rPr>
      </w:pPr>
      <w:r>
        <w:rPr>
          <w:rFonts w:ascii="Times New Roman" w:hAnsi="Times New Roman"/>
          <w:sz w:val="24"/>
          <w:szCs w:val="24"/>
        </w:rPr>
        <w:t xml:space="preserve">İmatinib </w:t>
      </w:r>
      <w:r>
        <w:rPr>
          <w:rFonts w:ascii="Times New Roman" w:hAnsi="Times New Roman"/>
          <w:i/>
          <w:sz w:val="24"/>
          <w:szCs w:val="24"/>
        </w:rPr>
        <w:t>in vitro</w:t>
      </w:r>
      <w:r>
        <w:rPr>
          <w:rFonts w:ascii="Times New Roman" w:hAnsi="Times New Roman"/>
          <w:sz w:val="24"/>
          <w:szCs w:val="24"/>
        </w:rPr>
        <w:t xml:space="preserve"> ortamda parasetamol O- glukuronidasyon </w:t>
      </w:r>
      <w:proofErr w:type="gramStart"/>
      <w:r>
        <w:rPr>
          <w:rFonts w:ascii="Times New Roman" w:hAnsi="Times New Roman"/>
          <w:sz w:val="24"/>
          <w:szCs w:val="24"/>
        </w:rPr>
        <w:t>58.5</w:t>
      </w:r>
      <w:proofErr w:type="gramEnd"/>
      <w:r>
        <w:rPr>
          <w:rFonts w:ascii="Times New Roman" w:hAnsi="Times New Roman"/>
          <w:sz w:val="24"/>
          <w:szCs w:val="24"/>
        </w:rPr>
        <w:t xml:space="preserve"> mikromol/l Ki değeri ile inhibe eder. Bu inhibisyon </w:t>
      </w:r>
      <w:r>
        <w:rPr>
          <w:rFonts w:ascii="Times New Roman" w:hAnsi="Times New Roman"/>
          <w:i/>
          <w:sz w:val="24"/>
          <w:szCs w:val="24"/>
        </w:rPr>
        <w:t>in vivo</w:t>
      </w:r>
      <w:r>
        <w:rPr>
          <w:rFonts w:ascii="Times New Roman" w:hAnsi="Times New Roman"/>
          <w:sz w:val="24"/>
          <w:szCs w:val="24"/>
        </w:rPr>
        <w:t xml:space="preserve"> koşullarda, 400 mg imatinib ve 1000 mg parasetamol uygulamasının ardından görülmemiştir. Daha yüksek imatinib ve parasetamol </w:t>
      </w:r>
      <w:r w:rsidR="005E2BEF">
        <w:rPr>
          <w:rFonts w:ascii="Times New Roman" w:hAnsi="Times New Roman"/>
          <w:sz w:val="24"/>
          <w:szCs w:val="24"/>
        </w:rPr>
        <w:t>dozları çalışılmamıştır. Bu nedenle yüksek dozda İMATİS ve parasetamol eşzamanlı uygulanırken dikkatli olunmalıdır.</w:t>
      </w:r>
    </w:p>
    <w:p w:rsidR="00FA40FF" w:rsidRPr="004B3EB9" w:rsidRDefault="005D41C2" w:rsidP="00C86B5D">
      <w:pPr>
        <w:spacing w:after="0"/>
        <w:jc w:val="both"/>
        <w:rPr>
          <w:rFonts w:ascii="Times New Roman" w:hAnsi="Times New Roman"/>
          <w:sz w:val="24"/>
          <w:szCs w:val="24"/>
        </w:rPr>
      </w:pPr>
      <w:r>
        <w:rPr>
          <w:rFonts w:ascii="Times New Roman" w:hAnsi="Times New Roman"/>
          <w:sz w:val="24"/>
          <w:szCs w:val="24"/>
        </w:rPr>
        <w:t xml:space="preserve">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4.6.</w:t>
      </w:r>
      <w:r w:rsidR="00791617" w:rsidRPr="004B3EB9">
        <w:rPr>
          <w:rFonts w:ascii="Times New Roman" w:hAnsi="Times New Roman"/>
          <w:b/>
          <w:bCs/>
          <w:sz w:val="24"/>
          <w:szCs w:val="24"/>
        </w:rPr>
        <w:t xml:space="preserve"> </w:t>
      </w:r>
      <w:r w:rsidRPr="004B3EB9">
        <w:rPr>
          <w:rFonts w:ascii="Times New Roman" w:hAnsi="Times New Roman"/>
          <w:b/>
          <w:bCs/>
          <w:sz w:val="24"/>
          <w:szCs w:val="24"/>
        </w:rPr>
        <w:t>Gebelik ve laktasyon</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Genel tavsiye</w:t>
      </w:r>
    </w:p>
    <w:p w:rsidR="00F3186B"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Gebelik kategorisi D</w:t>
      </w:r>
      <w:r w:rsidR="00F54064">
        <w:rPr>
          <w:rFonts w:ascii="Times New Roman" w:hAnsi="Times New Roman"/>
          <w:sz w:val="24"/>
          <w:szCs w:val="24"/>
        </w:rPr>
        <w:t>’</w:t>
      </w:r>
      <w:r w:rsidRPr="004B3EB9">
        <w:rPr>
          <w:rFonts w:ascii="Times New Roman" w:hAnsi="Times New Roman"/>
          <w:sz w:val="24"/>
          <w:szCs w:val="24"/>
        </w:rPr>
        <w:t>dir.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Çocuk doğurma potansiyeli bulunan kadınlar / Doğum kontrolü (Kontrasepsiyon)</w:t>
      </w:r>
    </w:p>
    <w:p w:rsidR="00396DF1" w:rsidRPr="004B3EB9" w:rsidRDefault="00E568EA" w:rsidP="00C86B5D">
      <w:pPr>
        <w:spacing w:after="0"/>
        <w:jc w:val="both"/>
        <w:rPr>
          <w:rFonts w:ascii="Times New Roman" w:hAnsi="Times New Roman"/>
          <w:sz w:val="24"/>
          <w:szCs w:val="24"/>
        </w:rPr>
      </w:pPr>
      <w:r w:rsidRPr="004B3EB9">
        <w:rPr>
          <w:rFonts w:ascii="Times New Roman" w:hAnsi="Times New Roman"/>
          <w:sz w:val="24"/>
          <w:szCs w:val="24"/>
        </w:rPr>
        <w:t>Çocuk doğurma potansiyeli</w:t>
      </w:r>
      <w:r w:rsidR="00396DF1" w:rsidRPr="004B3EB9">
        <w:rPr>
          <w:rFonts w:ascii="Times New Roman" w:hAnsi="Times New Roman"/>
          <w:sz w:val="24"/>
          <w:szCs w:val="24"/>
        </w:rPr>
        <w:t xml:space="preserve"> bulunan kadınlara tedavi sıras</w:t>
      </w:r>
      <w:r w:rsidR="004F3870" w:rsidRPr="004B3EB9">
        <w:rPr>
          <w:rFonts w:ascii="Times New Roman" w:hAnsi="Times New Roman"/>
          <w:sz w:val="24"/>
          <w:szCs w:val="24"/>
        </w:rPr>
        <w:t>ın</w:t>
      </w:r>
      <w:r w:rsidR="00396DF1" w:rsidRPr="004B3EB9">
        <w:rPr>
          <w:rFonts w:ascii="Times New Roman" w:hAnsi="Times New Roman"/>
          <w:sz w:val="24"/>
          <w:szCs w:val="24"/>
        </w:rPr>
        <w:t>da etkili bir kontrasepsiyon uygulamaları önerilmelidir.</w:t>
      </w:r>
      <w:r w:rsidR="002342DE">
        <w:rPr>
          <w:rFonts w:ascii="Times New Roman" w:hAnsi="Times New Roman"/>
          <w:sz w:val="24"/>
          <w:szCs w:val="24"/>
        </w:rPr>
        <w:t xml:space="preserve"> Yüksek düzeyde etkili kontrasepsiyon, düzenli ve doğru bir şekilde kullanıldığında düşük bir başarısızlık oranına yol açan (yani, </w:t>
      </w:r>
      <w:proofErr w:type="gramStart"/>
      <w:r w:rsidR="002342DE">
        <w:rPr>
          <w:rFonts w:ascii="Times New Roman" w:hAnsi="Times New Roman"/>
          <w:sz w:val="24"/>
          <w:szCs w:val="24"/>
        </w:rPr>
        <w:t>yıl başına</w:t>
      </w:r>
      <w:proofErr w:type="gramEnd"/>
      <w:r w:rsidR="002342DE">
        <w:rPr>
          <w:rFonts w:ascii="Times New Roman" w:hAnsi="Times New Roman"/>
          <w:sz w:val="24"/>
          <w:szCs w:val="24"/>
        </w:rPr>
        <w:t xml:space="preserve"> %1’den düşük) bir doğum kontrol yöntemidir.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Gebelik dönemi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Hayvanlar üzerinde yapılan araştırmalar üreme toksisitesinin bulunduğunu göstermiştir (bkz. </w:t>
      </w:r>
      <w:proofErr w:type="gramStart"/>
      <w:r w:rsidRPr="004B3EB9">
        <w:rPr>
          <w:rFonts w:ascii="Times New Roman" w:hAnsi="Times New Roman"/>
          <w:sz w:val="24"/>
          <w:szCs w:val="24"/>
        </w:rPr>
        <w:t>5.3</w:t>
      </w:r>
      <w:proofErr w:type="gramEnd"/>
      <w:r w:rsidRPr="004B3EB9">
        <w:rPr>
          <w:rFonts w:ascii="Times New Roman" w:hAnsi="Times New Roman"/>
          <w:sz w:val="24"/>
          <w:szCs w:val="24"/>
        </w:rPr>
        <w:t xml:space="preserve"> Klinik öncesi güvenlilik verileri). </w:t>
      </w:r>
      <w:r w:rsidR="00472CE5" w:rsidRPr="00472CE5">
        <w:rPr>
          <w:rFonts w:ascii="Times New Roman" w:hAnsi="Times New Roman"/>
          <w:sz w:val="24"/>
          <w:szCs w:val="24"/>
        </w:rPr>
        <w:t xml:space="preserve">İmatinibin gebe kadınlarda kullanımına ilişkin yeterli veri mevcut değildir. </w:t>
      </w:r>
      <w:r w:rsidR="00472CE5">
        <w:rPr>
          <w:rFonts w:ascii="Times New Roman" w:hAnsi="Times New Roman"/>
          <w:sz w:val="24"/>
          <w:szCs w:val="24"/>
        </w:rPr>
        <w:t xml:space="preserve">İmatinib alan kadınlarda spontan düşükler ve bebekte konjenital </w:t>
      </w:r>
      <w:proofErr w:type="gramStart"/>
      <w:r w:rsidR="00472CE5">
        <w:rPr>
          <w:rFonts w:ascii="Times New Roman" w:hAnsi="Times New Roman"/>
          <w:sz w:val="24"/>
          <w:szCs w:val="24"/>
        </w:rPr>
        <w:t>anomalilerle</w:t>
      </w:r>
      <w:proofErr w:type="gramEnd"/>
      <w:r w:rsidR="00472CE5">
        <w:rPr>
          <w:rFonts w:ascii="Times New Roman" w:hAnsi="Times New Roman"/>
          <w:sz w:val="24"/>
          <w:szCs w:val="24"/>
        </w:rPr>
        <w:t xml:space="preserve"> ilgili pazarlama sonrası raporlar mevcuttur. İMATİS, beklenen fayda potansiyel riske ağır basmadığı sürece gebelik sırasında kullanılmamalıdır. </w:t>
      </w:r>
      <w:r w:rsidRPr="004B3EB9">
        <w:rPr>
          <w:rFonts w:ascii="Times New Roman" w:hAnsi="Times New Roman"/>
          <w:sz w:val="24"/>
          <w:szCs w:val="24"/>
        </w:rPr>
        <w:t>Gebelik sıras</w:t>
      </w:r>
      <w:r w:rsidR="004F3870" w:rsidRPr="004B3EB9">
        <w:rPr>
          <w:rFonts w:ascii="Times New Roman" w:hAnsi="Times New Roman"/>
          <w:sz w:val="24"/>
          <w:szCs w:val="24"/>
        </w:rPr>
        <w:t>ın</w:t>
      </w:r>
      <w:r w:rsidRPr="004B3EB9">
        <w:rPr>
          <w:rFonts w:ascii="Times New Roman" w:hAnsi="Times New Roman"/>
          <w:sz w:val="24"/>
          <w:szCs w:val="24"/>
        </w:rPr>
        <w:t>da kullanılması durumunda, hastaya fötüs üzerindeki potansiyel riskleri hakkında bilgi verilmelidir.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Laktasyon dönemi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Hem imatinib, hem de aktif metaboliti anne sütüne geçebilir. Süt/plazma ora</w:t>
      </w:r>
      <w:r w:rsidR="004F3870" w:rsidRPr="004B3EB9">
        <w:rPr>
          <w:rFonts w:ascii="Times New Roman" w:hAnsi="Times New Roman"/>
          <w:sz w:val="24"/>
          <w:szCs w:val="24"/>
        </w:rPr>
        <w:t>nı</w:t>
      </w:r>
      <w:r w:rsidRPr="004B3EB9">
        <w:rPr>
          <w:rFonts w:ascii="Times New Roman" w:hAnsi="Times New Roman"/>
          <w:sz w:val="24"/>
          <w:szCs w:val="24"/>
        </w:rPr>
        <w:t xml:space="preserve"> imatinib için </w:t>
      </w:r>
      <w:proofErr w:type="gramStart"/>
      <w:r w:rsidRPr="004B3EB9">
        <w:rPr>
          <w:rFonts w:ascii="Times New Roman" w:hAnsi="Times New Roman"/>
          <w:sz w:val="24"/>
          <w:szCs w:val="24"/>
        </w:rPr>
        <w:t>0.5</w:t>
      </w:r>
      <w:proofErr w:type="gramEnd"/>
      <w:r w:rsidRPr="004B3EB9">
        <w:rPr>
          <w:rFonts w:ascii="Times New Roman" w:hAnsi="Times New Roman"/>
          <w:sz w:val="24"/>
          <w:szCs w:val="24"/>
        </w:rPr>
        <w:t xml:space="preserve">, metaboliti için ise 0.9 olarak saptanmıştır; bu da metabolitin süte daha büyük oranda geçtiğini düşündürmektedir. İmatinib ve metabolitinin toplam </w:t>
      </w:r>
      <w:proofErr w:type="gramStart"/>
      <w:r w:rsidRPr="004B3EB9">
        <w:rPr>
          <w:rFonts w:ascii="Times New Roman" w:hAnsi="Times New Roman"/>
          <w:sz w:val="24"/>
          <w:szCs w:val="24"/>
        </w:rPr>
        <w:t>konsantrasyonu</w:t>
      </w:r>
      <w:proofErr w:type="gramEnd"/>
      <w:r w:rsidRPr="004B3EB9">
        <w:rPr>
          <w:rFonts w:ascii="Times New Roman" w:hAnsi="Times New Roman"/>
          <w:sz w:val="24"/>
          <w:szCs w:val="24"/>
        </w:rPr>
        <w:t xml:space="preserve"> ve bebeklerin maksimum günlük süt alımı düşünüldüğünde, toplam maruziyetin düşük olması beklenir (bir terapötik dozun ~%10</w:t>
      </w:r>
      <w:r w:rsidR="00F54064">
        <w:rPr>
          <w:rFonts w:ascii="Times New Roman" w:hAnsi="Times New Roman"/>
          <w:sz w:val="24"/>
          <w:szCs w:val="24"/>
        </w:rPr>
        <w:t>’</w:t>
      </w:r>
      <w:r w:rsidRPr="004B3EB9">
        <w:rPr>
          <w:rFonts w:ascii="Times New Roman" w:hAnsi="Times New Roman"/>
          <w:sz w:val="24"/>
          <w:szCs w:val="24"/>
        </w:rPr>
        <w:t xml:space="preserve">u). Bununla birlikte, bebeğin imatinibe düşük dozlarda maruz kalmasının etkileri bilinmediğinden, </w:t>
      </w:r>
      <w:r w:rsidR="009E236D" w:rsidRPr="004B3EB9">
        <w:rPr>
          <w:rFonts w:ascii="Times New Roman" w:hAnsi="Times New Roman"/>
          <w:sz w:val="24"/>
          <w:szCs w:val="24"/>
        </w:rPr>
        <w:t>İMATİS</w:t>
      </w:r>
      <w:r w:rsidRPr="004B3EB9">
        <w:rPr>
          <w:rFonts w:ascii="Times New Roman" w:hAnsi="Times New Roman"/>
          <w:sz w:val="24"/>
          <w:szCs w:val="24"/>
        </w:rPr>
        <w:t xml:space="preserve"> kullanan anneler bebeklerini emzirmemelidir.</w:t>
      </w:r>
    </w:p>
    <w:p w:rsidR="00C33C95" w:rsidRDefault="00C33C95" w:rsidP="00C86B5D">
      <w:pPr>
        <w:spacing w:after="0"/>
        <w:jc w:val="both"/>
        <w:rPr>
          <w:rFonts w:ascii="Times New Roman" w:hAnsi="Times New Roman"/>
          <w:sz w:val="24"/>
          <w:szCs w:val="24"/>
        </w:rPr>
      </w:pPr>
    </w:p>
    <w:p w:rsidR="00C33C95" w:rsidRDefault="00C33C95" w:rsidP="00C86B5D">
      <w:pPr>
        <w:spacing w:after="0"/>
        <w:jc w:val="both"/>
        <w:rPr>
          <w:rFonts w:ascii="Times New Roman" w:hAnsi="Times New Roman"/>
          <w:sz w:val="24"/>
          <w:szCs w:val="24"/>
        </w:rPr>
      </w:pPr>
      <w:r>
        <w:rPr>
          <w:rFonts w:ascii="Times New Roman" w:hAnsi="Times New Roman"/>
          <w:b/>
          <w:sz w:val="24"/>
          <w:szCs w:val="24"/>
        </w:rPr>
        <w:t>Üreme yeteneği/Fertilite</w:t>
      </w:r>
    </w:p>
    <w:p w:rsidR="00C33C95" w:rsidRDefault="00C33C95" w:rsidP="00C86B5D">
      <w:pPr>
        <w:spacing w:after="0"/>
        <w:jc w:val="both"/>
        <w:rPr>
          <w:rFonts w:ascii="Times New Roman" w:hAnsi="Times New Roman"/>
          <w:sz w:val="24"/>
          <w:szCs w:val="24"/>
        </w:rPr>
      </w:pPr>
      <w:r>
        <w:rPr>
          <w:rFonts w:ascii="Times New Roman" w:hAnsi="Times New Roman"/>
          <w:sz w:val="24"/>
          <w:szCs w:val="24"/>
        </w:rPr>
        <w:t xml:space="preserve">İmatinib alan erkek hastalar ve ilacın erkek fertilitesi ve spermatogenezi üzerindeki etkileri ile ilgili insan çalışmaları yapılmamıştır. İMATİS tedavisi gören ve fertilite konusunda endişe duyan erkek hastalar hekimlerine danışmalıdırlar (bkz. Bölüm </w:t>
      </w:r>
      <w:proofErr w:type="gramStart"/>
      <w:r>
        <w:rPr>
          <w:rFonts w:ascii="Times New Roman" w:hAnsi="Times New Roman"/>
          <w:sz w:val="24"/>
          <w:szCs w:val="24"/>
        </w:rPr>
        <w:t>5.3</w:t>
      </w:r>
      <w:proofErr w:type="gramEnd"/>
      <w:r>
        <w:rPr>
          <w:rFonts w:ascii="Times New Roman" w:hAnsi="Times New Roman"/>
          <w:sz w:val="24"/>
          <w:szCs w:val="24"/>
        </w:rPr>
        <w:t>).</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4.7.</w:t>
      </w:r>
      <w:r w:rsidRPr="004B3EB9">
        <w:rPr>
          <w:rFonts w:ascii="Times New Roman" w:hAnsi="Times New Roman"/>
          <w:b/>
          <w:bCs/>
          <w:sz w:val="24"/>
          <w:szCs w:val="24"/>
        </w:rPr>
        <w:tab/>
        <w:t>Araç ve makina kullanmaya etkisi</w:t>
      </w:r>
    </w:p>
    <w:p w:rsidR="00396DF1" w:rsidRPr="004B3EB9" w:rsidRDefault="00C97C62" w:rsidP="00C86B5D">
      <w:pPr>
        <w:spacing w:after="0"/>
        <w:jc w:val="both"/>
        <w:rPr>
          <w:rFonts w:ascii="Times New Roman" w:hAnsi="Times New Roman"/>
          <w:sz w:val="24"/>
          <w:szCs w:val="24"/>
        </w:rPr>
      </w:pPr>
      <w:r>
        <w:rPr>
          <w:rFonts w:ascii="Times New Roman" w:hAnsi="Times New Roman"/>
          <w:sz w:val="24"/>
          <w:szCs w:val="24"/>
        </w:rPr>
        <w:t>İmatinib alan hastalarda motorlu araç kazaları bildirilmiştir. Bu raporların büyük kısmında sebebin imatinib olduğundan şüphelenilmemiş olsa da,</w:t>
      </w:r>
      <w:r w:rsidR="00396DF1" w:rsidRPr="004B3EB9">
        <w:rPr>
          <w:rFonts w:ascii="Times New Roman" w:hAnsi="Times New Roman"/>
          <w:sz w:val="24"/>
          <w:szCs w:val="24"/>
        </w:rPr>
        <w:t xml:space="preserve"> hastalara imatinib ile tedavi </w:t>
      </w:r>
      <w:r w:rsidR="004F3870" w:rsidRPr="004B3EB9">
        <w:rPr>
          <w:rFonts w:ascii="Times New Roman" w:hAnsi="Times New Roman"/>
          <w:sz w:val="24"/>
          <w:szCs w:val="24"/>
        </w:rPr>
        <w:t>sırasında</w:t>
      </w:r>
      <w:r w:rsidR="00396DF1" w:rsidRPr="004B3EB9">
        <w:rPr>
          <w:rFonts w:ascii="Times New Roman" w:hAnsi="Times New Roman"/>
          <w:sz w:val="24"/>
          <w:szCs w:val="24"/>
        </w:rPr>
        <w:t xml:space="preserve"> baş dönmesi</w:t>
      </w:r>
      <w:r>
        <w:rPr>
          <w:rFonts w:ascii="Times New Roman" w:hAnsi="Times New Roman"/>
          <w:sz w:val="24"/>
          <w:szCs w:val="24"/>
        </w:rPr>
        <w:t>, somnolans</w:t>
      </w:r>
      <w:r w:rsidR="00396DF1" w:rsidRPr="004B3EB9">
        <w:rPr>
          <w:rFonts w:ascii="Times New Roman" w:hAnsi="Times New Roman"/>
          <w:sz w:val="24"/>
          <w:szCs w:val="24"/>
        </w:rPr>
        <w:t xml:space="preserve"> ya da bulanık görme gibi istenmeyen etkiler yaşayabilecekleri bildirilmelidir. Bu nedenle, araba ya da araç kullanırken dikkatli olunması önerilmelidir.</w:t>
      </w:r>
    </w:p>
    <w:p w:rsidR="00FA40FF" w:rsidRPr="004B3EB9" w:rsidRDefault="00FA40FF"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4.8.</w:t>
      </w:r>
      <w:r w:rsidRPr="004B3EB9">
        <w:rPr>
          <w:rFonts w:ascii="Times New Roman" w:hAnsi="Times New Roman"/>
          <w:b/>
          <w:bCs/>
          <w:sz w:val="24"/>
          <w:szCs w:val="24"/>
        </w:rPr>
        <w:tab/>
        <w:t>İstenmeyen etkiler</w:t>
      </w:r>
    </w:p>
    <w:p w:rsidR="00544FE9" w:rsidRDefault="00544FE9" w:rsidP="00C86B5D">
      <w:pPr>
        <w:spacing w:after="0"/>
        <w:jc w:val="both"/>
        <w:rPr>
          <w:rFonts w:ascii="Times New Roman" w:hAnsi="Times New Roman"/>
          <w:sz w:val="24"/>
          <w:szCs w:val="24"/>
        </w:rPr>
      </w:pPr>
      <w:r>
        <w:rPr>
          <w:rFonts w:ascii="Times New Roman" w:hAnsi="Times New Roman"/>
          <w:sz w:val="24"/>
          <w:szCs w:val="24"/>
        </w:rPr>
        <w:t xml:space="preserve">Güvenlilik </w:t>
      </w:r>
      <w:proofErr w:type="gramStart"/>
      <w:r>
        <w:rPr>
          <w:rFonts w:ascii="Times New Roman" w:hAnsi="Times New Roman"/>
          <w:sz w:val="24"/>
          <w:szCs w:val="24"/>
        </w:rPr>
        <w:t>profilinin</w:t>
      </w:r>
      <w:proofErr w:type="gramEnd"/>
      <w:r>
        <w:rPr>
          <w:rFonts w:ascii="Times New Roman" w:hAnsi="Times New Roman"/>
          <w:sz w:val="24"/>
          <w:szCs w:val="24"/>
        </w:rPr>
        <w:t xml:space="preserve"> özeti</w:t>
      </w:r>
    </w:p>
    <w:p w:rsidR="00544FE9" w:rsidRDefault="00544FE9" w:rsidP="00C86B5D">
      <w:pPr>
        <w:spacing w:after="0"/>
        <w:jc w:val="both"/>
        <w:rPr>
          <w:rFonts w:ascii="Times New Roman" w:hAnsi="Times New Roman"/>
          <w:sz w:val="24"/>
          <w:szCs w:val="24"/>
        </w:rPr>
      </w:pPr>
      <w:r>
        <w:rPr>
          <w:rFonts w:ascii="Times New Roman" w:hAnsi="Times New Roman"/>
          <w:sz w:val="24"/>
          <w:szCs w:val="24"/>
        </w:rPr>
        <w:t xml:space="preserve">İnsanlardaki klinik kullanımda imatinibin genel güvenlilik </w:t>
      </w:r>
      <w:proofErr w:type="gramStart"/>
      <w:r>
        <w:rPr>
          <w:rFonts w:ascii="Times New Roman" w:hAnsi="Times New Roman"/>
          <w:sz w:val="24"/>
          <w:szCs w:val="24"/>
        </w:rPr>
        <w:t>profili</w:t>
      </w:r>
      <w:proofErr w:type="gramEnd"/>
      <w:r>
        <w:rPr>
          <w:rFonts w:ascii="Times New Roman" w:hAnsi="Times New Roman"/>
          <w:sz w:val="24"/>
          <w:szCs w:val="24"/>
        </w:rPr>
        <w:t>, 12 yıldan fazla bir dönemi kapsayan imatinib deneyimiyle iyi bir şekilde karakterize edilmiştir. Klinik geliştirme sırasında hastaların büyük kısmı bir zaman noktasında advers olay yaşamıştır. En sık bildirilen ADR’ler (&gt;%10) nötropeni, trombositeponit, anemi, baş ağrısı, dispepsi, ödem, kilo artışı, mide bulantısı, kusma, kas krampları, iskelet-kas ağrısı, ishal, deri döküntüsü, yorgunluk ve abdominal ağrı olmuştur. Olaylar hafif ila orta derecededir ve hastaların yalnızca %2 ila 5’i ilaçla bağlantılı bir olay nedeniyle tedaviyi kalıcı olarak bırakmıştır.</w:t>
      </w:r>
    </w:p>
    <w:p w:rsidR="009C687A" w:rsidRDefault="009C687A" w:rsidP="00C86B5D">
      <w:pPr>
        <w:spacing w:after="0"/>
        <w:jc w:val="both"/>
        <w:rPr>
          <w:rFonts w:ascii="Times New Roman" w:hAnsi="Times New Roman"/>
          <w:sz w:val="24"/>
          <w:szCs w:val="24"/>
        </w:rPr>
      </w:pPr>
      <w:r>
        <w:rPr>
          <w:rFonts w:ascii="Times New Roman" w:hAnsi="Times New Roman"/>
          <w:sz w:val="24"/>
          <w:szCs w:val="24"/>
        </w:rPr>
        <w:t>Ph</w:t>
      </w:r>
      <w:r w:rsidR="00E4171A">
        <w:rPr>
          <w:rFonts w:ascii="Times New Roman" w:hAnsi="Times New Roman"/>
          <w:sz w:val="24"/>
          <w:szCs w:val="24"/>
        </w:rPr>
        <w:t xml:space="preserve">+ lösemiler ve solid tümörler arasında güvenlilik </w:t>
      </w:r>
      <w:proofErr w:type="gramStart"/>
      <w:r w:rsidR="00E4171A">
        <w:rPr>
          <w:rFonts w:ascii="Times New Roman" w:hAnsi="Times New Roman"/>
          <w:sz w:val="24"/>
          <w:szCs w:val="24"/>
        </w:rPr>
        <w:t>profili</w:t>
      </w:r>
      <w:proofErr w:type="gramEnd"/>
      <w:r w:rsidR="00E4171A">
        <w:rPr>
          <w:rFonts w:ascii="Times New Roman" w:hAnsi="Times New Roman"/>
          <w:sz w:val="24"/>
          <w:szCs w:val="24"/>
        </w:rPr>
        <w:t xml:space="preserve"> açısından farklılıklar, Ph+ lösemilerde daha yüksek bir insidans ve şiddette miyelosupresyondur ve bunlar büyük olasılıkla hastalıkla bağlantılı faktörlerden kaynaklanmaktadır. Miyelosüpresyon, GI advers olaylar, ödem ve deri döküntüleri bu hasta </w:t>
      </w:r>
      <w:proofErr w:type="gramStart"/>
      <w:r w:rsidR="00E4171A">
        <w:rPr>
          <w:rFonts w:ascii="Times New Roman" w:hAnsi="Times New Roman"/>
          <w:sz w:val="24"/>
          <w:szCs w:val="24"/>
        </w:rPr>
        <w:t>popülasyonunda</w:t>
      </w:r>
      <w:proofErr w:type="gramEnd"/>
      <w:r w:rsidR="00E4171A">
        <w:rPr>
          <w:rFonts w:ascii="Times New Roman" w:hAnsi="Times New Roman"/>
          <w:sz w:val="24"/>
          <w:szCs w:val="24"/>
        </w:rPr>
        <w:t xml:space="preserve"> yaygındır. İmatinibe maruziyetten sonra gözlenmiş ve nedensel olarak bağlantılı olabilecek diğer belirgin advers olaylar hepatotoksisite, akut böbrek yetmezliği, hipofosfatemi, şiddetli respiratuar advers reaksiyonlar, tümör lizis </w:t>
      </w:r>
      <w:proofErr w:type="gramStart"/>
      <w:r w:rsidR="00E4171A">
        <w:rPr>
          <w:rFonts w:ascii="Times New Roman" w:hAnsi="Times New Roman"/>
          <w:sz w:val="24"/>
          <w:szCs w:val="24"/>
        </w:rPr>
        <w:t>sendromu</w:t>
      </w:r>
      <w:proofErr w:type="gramEnd"/>
      <w:r w:rsidR="00E4171A">
        <w:rPr>
          <w:rFonts w:ascii="Times New Roman" w:hAnsi="Times New Roman"/>
          <w:sz w:val="24"/>
          <w:szCs w:val="24"/>
        </w:rPr>
        <w:t xml:space="preserve"> ve çocuklarda büyüme geriliğini kapsamaktadır.</w:t>
      </w:r>
    </w:p>
    <w:p w:rsidR="00E4171A" w:rsidRDefault="00E4171A" w:rsidP="00C86B5D">
      <w:pPr>
        <w:spacing w:after="0"/>
        <w:jc w:val="both"/>
        <w:rPr>
          <w:rFonts w:ascii="Times New Roman" w:hAnsi="Times New Roman"/>
          <w:sz w:val="24"/>
          <w:szCs w:val="24"/>
        </w:rPr>
      </w:pPr>
      <w:r>
        <w:rPr>
          <w:rFonts w:ascii="Times New Roman" w:hAnsi="Times New Roman"/>
          <w:sz w:val="24"/>
          <w:szCs w:val="24"/>
        </w:rPr>
        <w:t>Olayların şiddetine bağlı olarak doz ayarlaması gerekli olabilir. Çok az sayıda vakada advers reaksiyonlara bağlı olarak ilacın bırakılması gerekecektir.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Advers reaksiyonlar en sık görülen en önce olmak üzere ve şu sı</w:t>
      </w:r>
      <w:r w:rsidR="004F3870" w:rsidRPr="004B3EB9">
        <w:rPr>
          <w:rFonts w:ascii="Times New Roman" w:hAnsi="Times New Roman"/>
          <w:sz w:val="24"/>
          <w:szCs w:val="24"/>
        </w:rPr>
        <w:t>nı</w:t>
      </w:r>
      <w:r w:rsidRPr="004B3EB9">
        <w:rPr>
          <w:rFonts w:ascii="Times New Roman" w:hAnsi="Times New Roman"/>
          <w:sz w:val="24"/>
          <w:szCs w:val="24"/>
        </w:rPr>
        <w:t>flandırma uygulanarak sıklıklarına göre sıralanmıştır: Çok yaygın (</w:t>
      </w:r>
      <w:r w:rsidR="004F3870" w:rsidRPr="004B3EB9">
        <w:rPr>
          <w:rFonts w:ascii="Times New Roman" w:hAnsi="Times New Roman"/>
          <w:sz w:val="24"/>
          <w:szCs w:val="24"/>
        </w:rPr>
        <w:t>≥</w:t>
      </w:r>
      <w:r w:rsidRPr="004B3EB9">
        <w:rPr>
          <w:rFonts w:ascii="Times New Roman" w:hAnsi="Times New Roman"/>
          <w:sz w:val="24"/>
          <w:szCs w:val="24"/>
        </w:rPr>
        <w:t>1/10); yaygın (</w:t>
      </w:r>
      <w:r w:rsidR="004F3870" w:rsidRPr="004B3EB9">
        <w:rPr>
          <w:rFonts w:ascii="Times New Roman" w:hAnsi="Times New Roman"/>
          <w:sz w:val="24"/>
          <w:szCs w:val="24"/>
        </w:rPr>
        <w:t>≥</w:t>
      </w:r>
      <w:r w:rsidRPr="004B3EB9">
        <w:rPr>
          <w:rFonts w:ascii="Times New Roman" w:hAnsi="Times New Roman"/>
          <w:sz w:val="24"/>
          <w:szCs w:val="24"/>
        </w:rPr>
        <w:t xml:space="preserve"> 1/100, &lt; 1/10); yaygın olmayan</w:t>
      </w:r>
      <w:r w:rsidR="00DF00A6" w:rsidRPr="004B3EB9">
        <w:rPr>
          <w:rFonts w:ascii="Times New Roman" w:hAnsi="Times New Roman"/>
          <w:sz w:val="24"/>
          <w:szCs w:val="24"/>
        </w:rPr>
        <w:t xml:space="preserve"> </w:t>
      </w:r>
      <w:r w:rsidRPr="004B3EB9">
        <w:rPr>
          <w:rFonts w:ascii="Times New Roman" w:hAnsi="Times New Roman"/>
          <w:sz w:val="24"/>
          <w:szCs w:val="24"/>
        </w:rPr>
        <w:t>(</w:t>
      </w:r>
      <w:r w:rsidR="004F3870" w:rsidRPr="004B3EB9">
        <w:rPr>
          <w:rFonts w:ascii="Times New Roman" w:hAnsi="Times New Roman"/>
          <w:sz w:val="24"/>
          <w:szCs w:val="24"/>
        </w:rPr>
        <w:t>≥</w:t>
      </w:r>
      <w:r w:rsidRPr="004B3EB9">
        <w:rPr>
          <w:rFonts w:ascii="Times New Roman" w:hAnsi="Times New Roman"/>
          <w:sz w:val="24"/>
          <w:szCs w:val="24"/>
        </w:rPr>
        <w:t xml:space="preserve"> 1/1000, &lt; 1/100); seyrek (</w:t>
      </w:r>
      <w:r w:rsidR="004F3870" w:rsidRPr="004B3EB9">
        <w:rPr>
          <w:rFonts w:ascii="Times New Roman" w:hAnsi="Times New Roman"/>
          <w:sz w:val="24"/>
          <w:szCs w:val="24"/>
        </w:rPr>
        <w:t>≥</w:t>
      </w:r>
      <w:r w:rsidRPr="004B3EB9">
        <w:rPr>
          <w:rFonts w:ascii="Times New Roman" w:hAnsi="Times New Roman"/>
          <w:sz w:val="24"/>
          <w:szCs w:val="24"/>
        </w:rPr>
        <w:t xml:space="preserve"> 1/10,000, &lt; 1/1000); çok seyrek (&lt; 1/10,000), izole raporlar </w:t>
      </w:r>
      <w:proofErr w:type="gramStart"/>
      <w:r w:rsidRPr="004B3EB9">
        <w:rPr>
          <w:rFonts w:ascii="Times New Roman" w:hAnsi="Times New Roman"/>
          <w:sz w:val="24"/>
          <w:szCs w:val="24"/>
        </w:rPr>
        <w:t>dahil</w:t>
      </w:r>
      <w:proofErr w:type="gramEnd"/>
      <w:r w:rsidRPr="004B3EB9">
        <w:rPr>
          <w:rFonts w:ascii="Times New Roman" w:hAnsi="Times New Roman"/>
          <w:sz w:val="24"/>
          <w:szCs w:val="24"/>
        </w:rPr>
        <w:t>. Aşağıda bildirilen advers reaksiyonlar ve sıklıkla</w:t>
      </w:r>
      <w:r w:rsidR="008E32E3" w:rsidRPr="004B3EB9">
        <w:rPr>
          <w:rFonts w:ascii="Times New Roman" w:hAnsi="Times New Roman"/>
          <w:sz w:val="24"/>
          <w:szCs w:val="24"/>
        </w:rPr>
        <w:t>rı</w:t>
      </w:r>
      <w:r w:rsidRPr="004B3EB9">
        <w:rPr>
          <w:rFonts w:ascii="Times New Roman" w:hAnsi="Times New Roman"/>
          <w:sz w:val="24"/>
          <w:szCs w:val="24"/>
        </w:rPr>
        <w:t>, KML için yürütülen çalışmalara dayanmaktadır.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KML çalışmalarında gözlenen advers reaksiyonlar</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Enfeksiyonlar ve enfestasyonlar</w:t>
      </w:r>
    </w:p>
    <w:p w:rsidR="004F3870"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w:t>
      </w:r>
      <w:r w:rsidR="00EC3B5B" w:rsidRPr="004B3EB9">
        <w:rPr>
          <w:rFonts w:ascii="Times New Roman" w:hAnsi="Times New Roman"/>
          <w:sz w:val="24"/>
          <w:szCs w:val="24"/>
        </w:rPr>
        <w:t>:</w:t>
      </w:r>
      <w:r w:rsidR="00EC3B5B">
        <w:rPr>
          <w:rFonts w:ascii="Times New Roman" w:hAnsi="Times New Roman"/>
          <w:sz w:val="24"/>
          <w:szCs w:val="24"/>
        </w:rPr>
        <w:tab/>
      </w:r>
      <w:r w:rsidR="00396DF1" w:rsidRPr="004B3EB9">
        <w:rPr>
          <w:rFonts w:ascii="Times New Roman" w:hAnsi="Times New Roman"/>
          <w:sz w:val="24"/>
          <w:szCs w:val="24"/>
        </w:rPr>
        <w:t xml:space="preserve">Herpes zoster, herpes simplex, nazofarenjit, pnömoni, sinüzit, selülit, üst solunum yolu </w:t>
      </w:r>
      <w:proofErr w:type="gramStart"/>
      <w:r w:rsidR="00396DF1" w:rsidRPr="004B3EB9">
        <w:rPr>
          <w:rFonts w:ascii="Times New Roman" w:hAnsi="Times New Roman"/>
          <w:sz w:val="24"/>
          <w:szCs w:val="24"/>
        </w:rPr>
        <w:t>enfeksiyonu</w:t>
      </w:r>
      <w:proofErr w:type="gramEnd"/>
      <w:r w:rsidR="00396DF1" w:rsidRPr="004B3EB9">
        <w:rPr>
          <w:rFonts w:ascii="Times New Roman" w:hAnsi="Times New Roman"/>
          <w:sz w:val="24"/>
          <w:szCs w:val="24"/>
        </w:rPr>
        <w:t xml:space="preserve">, influenza, idrar yolu enfeksiyonu, gastroenteritis, sepsis. </w:t>
      </w:r>
    </w:p>
    <w:p w:rsidR="00F3186B"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 xml:space="preserve">Fungal </w:t>
      </w:r>
      <w:proofErr w:type="gramStart"/>
      <w:r w:rsidRPr="004B3EB9">
        <w:rPr>
          <w:rFonts w:ascii="Times New Roman" w:hAnsi="Times New Roman"/>
          <w:sz w:val="24"/>
          <w:szCs w:val="24"/>
        </w:rPr>
        <w:t>enfeksiyon</w:t>
      </w:r>
      <w:proofErr w:type="gramEnd"/>
    </w:p>
    <w:p w:rsidR="008B6554" w:rsidRDefault="008B655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Kan ve lenf sistemi hastalıkları</w:t>
      </w:r>
    </w:p>
    <w:p w:rsidR="004F3870"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FF539C">
        <w:rPr>
          <w:rFonts w:ascii="Times New Roman" w:hAnsi="Times New Roman"/>
          <w:sz w:val="24"/>
          <w:szCs w:val="24"/>
        </w:rPr>
        <w:tab/>
      </w:r>
      <w:r w:rsidRPr="004B3EB9">
        <w:rPr>
          <w:rFonts w:ascii="Times New Roman" w:hAnsi="Times New Roman"/>
          <w:sz w:val="24"/>
          <w:szCs w:val="24"/>
        </w:rPr>
        <w:t>Nöt</w:t>
      </w:r>
      <w:r w:rsidR="00DF00A6" w:rsidRPr="004B3EB9">
        <w:rPr>
          <w:rFonts w:ascii="Times New Roman" w:hAnsi="Times New Roman"/>
          <w:sz w:val="24"/>
          <w:szCs w:val="24"/>
        </w:rPr>
        <w:t>ropeni, trombositopeni, anemi</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DF00A6" w:rsidRPr="004B3EB9">
        <w:rPr>
          <w:rFonts w:ascii="Times New Roman" w:hAnsi="Times New Roman"/>
          <w:sz w:val="24"/>
          <w:szCs w:val="24"/>
        </w:rPr>
        <w:t xml:space="preserve">: </w:t>
      </w:r>
      <w:r w:rsidR="00FF539C">
        <w:rPr>
          <w:rFonts w:ascii="Times New Roman" w:hAnsi="Times New Roman"/>
          <w:sz w:val="24"/>
          <w:szCs w:val="24"/>
        </w:rPr>
        <w:tab/>
      </w:r>
      <w:r w:rsidR="00DF00A6" w:rsidRPr="004B3EB9">
        <w:rPr>
          <w:rFonts w:ascii="Times New Roman" w:hAnsi="Times New Roman"/>
          <w:sz w:val="24"/>
          <w:szCs w:val="24"/>
        </w:rPr>
        <w:t>Pansitopeni, febril nötropeni</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DF00A6" w:rsidRPr="004B3EB9">
        <w:rPr>
          <w:rFonts w:ascii="Times New Roman" w:hAnsi="Times New Roman"/>
          <w:sz w:val="24"/>
          <w:szCs w:val="24"/>
        </w:rPr>
        <w:t xml:space="preserve"> </w:t>
      </w:r>
      <w:r w:rsidR="00396DF1" w:rsidRPr="004B3EB9">
        <w:rPr>
          <w:rFonts w:ascii="Times New Roman" w:hAnsi="Times New Roman"/>
          <w:sz w:val="24"/>
          <w:szCs w:val="24"/>
        </w:rPr>
        <w:t>olmayan:</w:t>
      </w:r>
      <w:r w:rsidR="001E7EC1" w:rsidRPr="004B3EB9">
        <w:rPr>
          <w:rFonts w:ascii="Times New Roman" w:hAnsi="Times New Roman"/>
          <w:sz w:val="24"/>
          <w:szCs w:val="24"/>
        </w:rPr>
        <w:t xml:space="preserve"> </w:t>
      </w:r>
      <w:r w:rsidR="00FF539C">
        <w:rPr>
          <w:rFonts w:ascii="Times New Roman" w:hAnsi="Times New Roman"/>
          <w:sz w:val="24"/>
          <w:szCs w:val="24"/>
        </w:rPr>
        <w:tab/>
      </w:r>
      <w:r w:rsidR="00396DF1" w:rsidRPr="004B3EB9">
        <w:rPr>
          <w:rFonts w:ascii="Times New Roman" w:hAnsi="Times New Roman"/>
          <w:sz w:val="24"/>
          <w:szCs w:val="24"/>
        </w:rPr>
        <w:t>Trombositemi,</w:t>
      </w:r>
      <w:r w:rsidR="00791617" w:rsidRPr="004B3EB9">
        <w:rPr>
          <w:rFonts w:ascii="Times New Roman" w:hAnsi="Times New Roman"/>
          <w:sz w:val="24"/>
          <w:szCs w:val="24"/>
        </w:rPr>
        <w:t xml:space="preserve">  </w:t>
      </w:r>
      <w:r w:rsidR="00396DF1" w:rsidRPr="004B3EB9">
        <w:rPr>
          <w:rFonts w:ascii="Times New Roman" w:hAnsi="Times New Roman"/>
          <w:sz w:val="24"/>
          <w:szCs w:val="24"/>
        </w:rPr>
        <w:t>lenfopeni,</w:t>
      </w:r>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w:t>
      </w:r>
      <w:proofErr w:type="gramStart"/>
      <w:r w:rsidR="00396DF1" w:rsidRPr="004B3EB9">
        <w:rPr>
          <w:rFonts w:ascii="Times New Roman" w:hAnsi="Times New Roman"/>
          <w:sz w:val="24"/>
          <w:szCs w:val="24"/>
        </w:rPr>
        <w:t>kemik</w:t>
      </w:r>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iliği</w:t>
      </w:r>
      <w:proofErr w:type="gramEnd"/>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depresyonu,</w:t>
      </w:r>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eozinofili,</w:t>
      </w:r>
      <w:r w:rsidRPr="004B3EB9">
        <w:rPr>
          <w:rFonts w:ascii="Times New Roman" w:hAnsi="Times New Roman"/>
          <w:sz w:val="24"/>
          <w:szCs w:val="24"/>
        </w:rPr>
        <w:t xml:space="preserve"> </w:t>
      </w:r>
      <w:r w:rsidR="00DF00A6" w:rsidRPr="004B3EB9">
        <w:rPr>
          <w:rFonts w:ascii="Times New Roman" w:hAnsi="Times New Roman"/>
          <w:sz w:val="24"/>
          <w:szCs w:val="24"/>
        </w:rPr>
        <w:t>lenfadenopati</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Hemolitik anemi</w:t>
      </w:r>
    </w:p>
    <w:p w:rsidR="00F36470" w:rsidRDefault="00F36470" w:rsidP="00C86B5D">
      <w:pPr>
        <w:tabs>
          <w:tab w:val="left" w:pos="1985"/>
        </w:tabs>
        <w:spacing w:after="0"/>
        <w:ind w:left="1985" w:hanging="1985"/>
        <w:jc w:val="both"/>
        <w:rPr>
          <w:rFonts w:ascii="Times New Roman" w:hAnsi="Times New Roman"/>
          <w:sz w:val="24"/>
          <w:szCs w:val="24"/>
        </w:rPr>
      </w:pPr>
    </w:p>
    <w:p w:rsidR="008B6554" w:rsidRPr="004B3EB9" w:rsidRDefault="008B6554"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Metabolizma ve beslenme bozuklukları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DF00A6" w:rsidRPr="004B3EB9">
        <w:rPr>
          <w:rFonts w:ascii="Times New Roman" w:hAnsi="Times New Roman"/>
          <w:sz w:val="24"/>
          <w:szCs w:val="24"/>
        </w:rPr>
        <w:t xml:space="preserve">: </w:t>
      </w:r>
      <w:r w:rsidR="00FF539C">
        <w:rPr>
          <w:rFonts w:ascii="Times New Roman" w:hAnsi="Times New Roman"/>
          <w:sz w:val="24"/>
          <w:szCs w:val="24"/>
        </w:rPr>
        <w:tab/>
      </w:r>
      <w:r w:rsidR="00DF00A6" w:rsidRPr="004B3EB9">
        <w:rPr>
          <w:rFonts w:ascii="Times New Roman" w:hAnsi="Times New Roman"/>
          <w:sz w:val="24"/>
          <w:szCs w:val="24"/>
        </w:rPr>
        <w:t>Anoreksi</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FF539C">
        <w:rPr>
          <w:rFonts w:ascii="Times New Roman" w:hAnsi="Times New Roman"/>
          <w:sz w:val="24"/>
          <w:szCs w:val="24"/>
        </w:rPr>
        <w:tab/>
      </w:r>
      <w:r w:rsidR="00396DF1" w:rsidRPr="004B3EB9">
        <w:rPr>
          <w:rFonts w:ascii="Times New Roman" w:hAnsi="Times New Roman"/>
          <w:sz w:val="24"/>
          <w:szCs w:val="24"/>
        </w:rPr>
        <w:t>Hipokalemi, iştah artışı, hipofosfatemi, iştah azalması, dehidrasyon, gut,</w:t>
      </w:r>
      <w:r w:rsidRPr="004B3EB9">
        <w:rPr>
          <w:rFonts w:ascii="Times New Roman" w:hAnsi="Times New Roman"/>
          <w:sz w:val="24"/>
          <w:szCs w:val="24"/>
        </w:rPr>
        <w:t xml:space="preserve"> </w:t>
      </w:r>
      <w:r w:rsidR="00396DF1" w:rsidRPr="004B3EB9">
        <w:rPr>
          <w:rFonts w:ascii="Times New Roman" w:hAnsi="Times New Roman"/>
          <w:sz w:val="24"/>
          <w:szCs w:val="24"/>
        </w:rPr>
        <w:t>hiperürikemi, hiperkalsemi, hiperglisemi, hiponatremi</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Sey</w:t>
      </w:r>
      <w:r w:rsidR="00DF00A6" w:rsidRPr="004B3EB9">
        <w:rPr>
          <w:rFonts w:ascii="Times New Roman" w:hAnsi="Times New Roman"/>
          <w:sz w:val="24"/>
          <w:szCs w:val="24"/>
        </w:rPr>
        <w:t xml:space="preserve">rek: </w:t>
      </w:r>
      <w:r w:rsidR="00FF539C">
        <w:rPr>
          <w:rFonts w:ascii="Times New Roman" w:hAnsi="Times New Roman"/>
          <w:sz w:val="24"/>
          <w:szCs w:val="24"/>
        </w:rPr>
        <w:tab/>
      </w:r>
      <w:r w:rsidR="00DF00A6" w:rsidRPr="004B3EB9">
        <w:rPr>
          <w:rFonts w:ascii="Times New Roman" w:hAnsi="Times New Roman"/>
          <w:sz w:val="24"/>
          <w:szCs w:val="24"/>
        </w:rPr>
        <w:t>Hiperkalemi, hipomagnezemi</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Psikiyatrik hastalıklar</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FF539C">
        <w:rPr>
          <w:rFonts w:ascii="Times New Roman" w:hAnsi="Times New Roman"/>
          <w:sz w:val="24"/>
          <w:szCs w:val="24"/>
        </w:rPr>
        <w:tab/>
      </w:r>
      <w:r w:rsidR="00396DF1" w:rsidRPr="004B3EB9">
        <w:rPr>
          <w:rFonts w:ascii="Times New Roman" w:hAnsi="Times New Roman"/>
          <w:sz w:val="24"/>
          <w:szCs w:val="24"/>
        </w:rPr>
        <w:t>Uykusuzluk</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FF539C">
        <w:rPr>
          <w:rFonts w:ascii="Times New Roman" w:hAnsi="Times New Roman"/>
          <w:sz w:val="24"/>
          <w:szCs w:val="24"/>
        </w:rPr>
        <w:tab/>
      </w:r>
      <w:r w:rsidR="00396DF1" w:rsidRPr="004B3EB9">
        <w:rPr>
          <w:rFonts w:ascii="Times New Roman" w:hAnsi="Times New Roman"/>
          <w:sz w:val="24"/>
          <w:szCs w:val="24"/>
        </w:rPr>
        <w:t>Depresyon, libido azalması, anksiyete</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Konfüzyon</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Sinir sistemi hastalıkları</w:t>
      </w:r>
    </w:p>
    <w:p w:rsidR="001E7EC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FF539C">
        <w:rPr>
          <w:rFonts w:ascii="Times New Roman" w:hAnsi="Times New Roman"/>
          <w:sz w:val="24"/>
          <w:szCs w:val="24"/>
        </w:rPr>
        <w:tab/>
      </w:r>
      <w:r w:rsidRPr="004B3EB9">
        <w:rPr>
          <w:rFonts w:ascii="Times New Roman" w:hAnsi="Times New Roman"/>
          <w:sz w:val="24"/>
          <w:szCs w:val="24"/>
        </w:rPr>
        <w:t xml:space="preserve">Baş </w:t>
      </w:r>
      <w:r w:rsidR="004F3870" w:rsidRPr="004B3EB9">
        <w:rPr>
          <w:rFonts w:ascii="Times New Roman" w:hAnsi="Times New Roman"/>
          <w:sz w:val="24"/>
          <w:szCs w:val="24"/>
        </w:rPr>
        <w:t>ağrı</w:t>
      </w:r>
      <w:r w:rsidRPr="004B3EB9">
        <w:rPr>
          <w:rFonts w:ascii="Times New Roman" w:hAnsi="Times New Roman"/>
          <w:sz w:val="24"/>
          <w:szCs w:val="24"/>
        </w:rPr>
        <w:t>sı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FF539C">
        <w:rPr>
          <w:rFonts w:ascii="Times New Roman" w:hAnsi="Times New Roman"/>
          <w:sz w:val="24"/>
          <w:szCs w:val="24"/>
        </w:rPr>
        <w:tab/>
      </w:r>
      <w:r w:rsidR="00396DF1" w:rsidRPr="004B3EB9">
        <w:rPr>
          <w:rFonts w:ascii="Times New Roman" w:hAnsi="Times New Roman"/>
          <w:sz w:val="24"/>
          <w:szCs w:val="24"/>
        </w:rPr>
        <w:t xml:space="preserve">Göz kararması, parestezi, tat duyusu </w:t>
      </w:r>
      <w:r w:rsidR="00DF00A6" w:rsidRPr="004B3EB9">
        <w:rPr>
          <w:rFonts w:ascii="Times New Roman" w:hAnsi="Times New Roman"/>
          <w:sz w:val="24"/>
          <w:szCs w:val="24"/>
        </w:rPr>
        <w:t>bozuklukl</w:t>
      </w:r>
      <w:r w:rsidR="008E32E3" w:rsidRPr="004B3EB9">
        <w:rPr>
          <w:rFonts w:ascii="Times New Roman" w:hAnsi="Times New Roman"/>
          <w:sz w:val="24"/>
          <w:szCs w:val="24"/>
        </w:rPr>
        <w:t>arı</w:t>
      </w:r>
      <w:r w:rsidR="00396DF1" w:rsidRPr="004B3EB9">
        <w:rPr>
          <w:rFonts w:ascii="Times New Roman" w:hAnsi="Times New Roman"/>
          <w:sz w:val="24"/>
          <w:szCs w:val="24"/>
        </w:rPr>
        <w:t>, hipoestezi</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FF539C">
        <w:rPr>
          <w:rFonts w:ascii="Times New Roman" w:hAnsi="Times New Roman"/>
          <w:sz w:val="24"/>
          <w:szCs w:val="24"/>
        </w:rPr>
        <w:tab/>
      </w:r>
      <w:r w:rsidR="00396DF1" w:rsidRPr="004B3EB9">
        <w:rPr>
          <w:rFonts w:ascii="Times New Roman" w:hAnsi="Times New Roman"/>
          <w:sz w:val="24"/>
          <w:szCs w:val="24"/>
        </w:rPr>
        <w:t>M</w:t>
      </w:r>
      <w:r w:rsidR="001E7EC1" w:rsidRPr="004B3EB9">
        <w:rPr>
          <w:rFonts w:ascii="Times New Roman" w:hAnsi="Times New Roman"/>
          <w:sz w:val="24"/>
          <w:szCs w:val="24"/>
        </w:rPr>
        <w:t>i</w:t>
      </w:r>
      <w:r w:rsidR="00396DF1" w:rsidRPr="004B3EB9">
        <w:rPr>
          <w:rFonts w:ascii="Times New Roman" w:hAnsi="Times New Roman"/>
          <w:sz w:val="24"/>
          <w:szCs w:val="24"/>
        </w:rPr>
        <w:t>gren, somnolans, senkop, periferik nöropati, bellek bozukluğu,</w:t>
      </w:r>
      <w:r w:rsidRPr="004B3EB9">
        <w:rPr>
          <w:rFonts w:ascii="Times New Roman" w:hAnsi="Times New Roman"/>
          <w:sz w:val="24"/>
          <w:szCs w:val="24"/>
        </w:rPr>
        <w:t xml:space="preserve"> </w:t>
      </w:r>
      <w:r w:rsidR="00396DF1" w:rsidRPr="004B3EB9">
        <w:rPr>
          <w:rFonts w:ascii="Times New Roman" w:hAnsi="Times New Roman"/>
          <w:sz w:val="24"/>
          <w:szCs w:val="24"/>
        </w:rPr>
        <w:t xml:space="preserve">siyatik, huzursuz ayak </w:t>
      </w:r>
      <w:proofErr w:type="gramStart"/>
      <w:r w:rsidR="00396DF1" w:rsidRPr="004B3EB9">
        <w:rPr>
          <w:rFonts w:ascii="Times New Roman" w:hAnsi="Times New Roman"/>
          <w:sz w:val="24"/>
          <w:szCs w:val="24"/>
        </w:rPr>
        <w:t>s</w:t>
      </w:r>
      <w:r w:rsidR="00DF00A6" w:rsidRPr="004B3EB9">
        <w:rPr>
          <w:rFonts w:ascii="Times New Roman" w:hAnsi="Times New Roman"/>
          <w:sz w:val="24"/>
          <w:szCs w:val="24"/>
        </w:rPr>
        <w:t>endromu</w:t>
      </w:r>
      <w:proofErr w:type="gramEnd"/>
      <w:r w:rsidR="00DF00A6" w:rsidRPr="004B3EB9">
        <w:rPr>
          <w:rFonts w:ascii="Times New Roman" w:hAnsi="Times New Roman"/>
          <w:sz w:val="24"/>
          <w:szCs w:val="24"/>
        </w:rPr>
        <w:t>, tremor, beyin kanaması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Kafa-içi basıncının ar</w:t>
      </w:r>
      <w:r w:rsidR="00DF00A6" w:rsidRPr="004B3EB9">
        <w:rPr>
          <w:rFonts w:ascii="Times New Roman" w:hAnsi="Times New Roman"/>
          <w:sz w:val="24"/>
          <w:szCs w:val="24"/>
        </w:rPr>
        <w:t>tması, konvülziyon, optik nörit</w:t>
      </w:r>
    </w:p>
    <w:p w:rsidR="00FF539C" w:rsidRPr="004B3EB9" w:rsidRDefault="00FF539C"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Göz hastalıkları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FF539C">
        <w:rPr>
          <w:rFonts w:ascii="Times New Roman" w:hAnsi="Times New Roman"/>
          <w:sz w:val="24"/>
          <w:szCs w:val="24"/>
        </w:rPr>
        <w:tab/>
      </w:r>
      <w:r w:rsidRPr="004B3EB9">
        <w:rPr>
          <w:rFonts w:ascii="Times New Roman" w:hAnsi="Times New Roman"/>
          <w:sz w:val="24"/>
          <w:szCs w:val="24"/>
        </w:rPr>
        <w:t>Göz kapağı ödemi, lakrimasyon artışı, konjunktiva kanaması, konjunktivit, göz</w:t>
      </w:r>
      <w:r w:rsidR="004F3870" w:rsidRPr="004B3EB9">
        <w:rPr>
          <w:rFonts w:ascii="Times New Roman" w:hAnsi="Times New Roman"/>
          <w:sz w:val="24"/>
          <w:szCs w:val="24"/>
        </w:rPr>
        <w:t xml:space="preserve"> </w:t>
      </w:r>
      <w:r w:rsidR="00DF00A6" w:rsidRPr="004B3EB9">
        <w:rPr>
          <w:rFonts w:ascii="Times New Roman" w:hAnsi="Times New Roman"/>
          <w:sz w:val="24"/>
          <w:szCs w:val="24"/>
        </w:rPr>
        <w:t>kuruması, bulanık görme</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271419">
        <w:rPr>
          <w:rFonts w:ascii="Times New Roman" w:hAnsi="Times New Roman"/>
          <w:sz w:val="24"/>
          <w:szCs w:val="24"/>
        </w:rPr>
        <w:tab/>
      </w:r>
      <w:r w:rsidR="00396DF1" w:rsidRPr="004B3EB9">
        <w:rPr>
          <w:rFonts w:ascii="Times New Roman" w:hAnsi="Times New Roman"/>
          <w:sz w:val="24"/>
          <w:szCs w:val="24"/>
        </w:rPr>
        <w:t>Göz tahrişi, göz ağrısı, orbita ödemi, sklera kanaması, retina kanaması,</w:t>
      </w:r>
      <w:r w:rsidRPr="004B3EB9">
        <w:rPr>
          <w:rFonts w:ascii="Times New Roman" w:hAnsi="Times New Roman"/>
          <w:sz w:val="24"/>
          <w:szCs w:val="24"/>
        </w:rPr>
        <w:t xml:space="preserve"> </w:t>
      </w:r>
      <w:r w:rsidR="00DF00A6" w:rsidRPr="004B3EB9">
        <w:rPr>
          <w:rFonts w:ascii="Times New Roman" w:hAnsi="Times New Roman"/>
          <w:sz w:val="24"/>
          <w:szCs w:val="24"/>
        </w:rPr>
        <w:t>blefarit, maküla ödemi</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Seyr</w:t>
      </w:r>
      <w:r w:rsidR="00DF00A6" w:rsidRPr="004B3EB9">
        <w:rPr>
          <w:rFonts w:ascii="Times New Roman" w:hAnsi="Times New Roman"/>
          <w:sz w:val="24"/>
          <w:szCs w:val="24"/>
        </w:rPr>
        <w:t xml:space="preserve">ek: </w:t>
      </w:r>
      <w:r w:rsidR="00271419">
        <w:rPr>
          <w:rFonts w:ascii="Times New Roman" w:hAnsi="Times New Roman"/>
          <w:sz w:val="24"/>
          <w:szCs w:val="24"/>
        </w:rPr>
        <w:tab/>
      </w:r>
      <w:r w:rsidR="00DF00A6" w:rsidRPr="004B3EB9">
        <w:rPr>
          <w:rFonts w:ascii="Times New Roman" w:hAnsi="Times New Roman"/>
          <w:sz w:val="24"/>
          <w:szCs w:val="24"/>
        </w:rPr>
        <w:t>Katarakt, glokom, papilödem</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Kulak ve iç kulak hastalıkları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271419">
        <w:rPr>
          <w:rFonts w:ascii="Times New Roman" w:hAnsi="Times New Roman"/>
          <w:sz w:val="24"/>
          <w:szCs w:val="24"/>
        </w:rPr>
        <w:tab/>
      </w:r>
      <w:r w:rsidR="00396DF1" w:rsidRPr="004B3EB9">
        <w:rPr>
          <w:rFonts w:ascii="Times New Roman" w:hAnsi="Times New Roman"/>
          <w:sz w:val="24"/>
          <w:szCs w:val="24"/>
        </w:rPr>
        <w:t>Vertigo</w:t>
      </w:r>
      <w:r w:rsidR="00DF00A6" w:rsidRPr="004B3EB9">
        <w:rPr>
          <w:rFonts w:ascii="Times New Roman" w:hAnsi="Times New Roman"/>
          <w:sz w:val="24"/>
          <w:szCs w:val="24"/>
        </w:rPr>
        <w:t>, kulak çınlaması, işitme kaybı</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Kardiyak hastalıklar</w:t>
      </w:r>
    </w:p>
    <w:p w:rsidR="00DF00A6"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271419">
        <w:rPr>
          <w:rFonts w:ascii="Times New Roman" w:hAnsi="Times New Roman"/>
          <w:sz w:val="24"/>
          <w:szCs w:val="24"/>
        </w:rPr>
        <w:tab/>
      </w:r>
      <w:r w:rsidRPr="004B3EB9">
        <w:rPr>
          <w:rFonts w:ascii="Times New Roman" w:hAnsi="Times New Roman"/>
          <w:sz w:val="24"/>
          <w:szCs w:val="24"/>
        </w:rPr>
        <w:t>Palpitasyonlar</w:t>
      </w:r>
      <w:r w:rsidR="00396DF1" w:rsidRPr="004B3EB9">
        <w:rPr>
          <w:rFonts w:ascii="Times New Roman" w:hAnsi="Times New Roman"/>
          <w:sz w:val="24"/>
          <w:szCs w:val="24"/>
        </w:rPr>
        <w:t xml:space="preserve">, taşikardi, konjestif </w:t>
      </w:r>
      <w:r w:rsidR="0032057E" w:rsidRPr="004B3EB9">
        <w:rPr>
          <w:rFonts w:ascii="Times New Roman" w:hAnsi="Times New Roman"/>
          <w:sz w:val="24"/>
          <w:szCs w:val="24"/>
        </w:rPr>
        <w:t>kalp yetmezliği, pulmoner ödem</w:t>
      </w:r>
    </w:p>
    <w:p w:rsidR="00DF00A6"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271419">
        <w:rPr>
          <w:rFonts w:ascii="Times New Roman" w:hAnsi="Times New Roman"/>
          <w:sz w:val="24"/>
          <w:szCs w:val="24"/>
        </w:rPr>
        <w:tab/>
      </w:r>
      <w:r w:rsidRPr="004B3EB9">
        <w:rPr>
          <w:rFonts w:ascii="Times New Roman" w:hAnsi="Times New Roman"/>
          <w:sz w:val="24"/>
          <w:szCs w:val="24"/>
        </w:rPr>
        <w:t>Aritmi, atriyal fibrilasyon, kardiyak arest, miyokard enfarktüsü, angina pektoris, perikardiyal efüzyon</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Vasküler hastalıklar</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271419">
        <w:rPr>
          <w:rFonts w:ascii="Times New Roman" w:hAnsi="Times New Roman"/>
          <w:sz w:val="24"/>
          <w:szCs w:val="24"/>
        </w:rPr>
        <w:tab/>
        <w:t>Al basması, k</w:t>
      </w:r>
      <w:r w:rsidR="001E7EC1" w:rsidRPr="004B3EB9">
        <w:rPr>
          <w:rFonts w:ascii="Times New Roman" w:hAnsi="Times New Roman"/>
          <w:sz w:val="24"/>
          <w:szCs w:val="24"/>
        </w:rPr>
        <w:t>anama</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271419">
        <w:rPr>
          <w:rFonts w:ascii="Times New Roman" w:hAnsi="Times New Roman"/>
          <w:sz w:val="24"/>
          <w:szCs w:val="24"/>
        </w:rPr>
        <w:tab/>
      </w:r>
      <w:r w:rsidR="00396DF1" w:rsidRPr="004B3EB9">
        <w:rPr>
          <w:rFonts w:ascii="Times New Roman" w:hAnsi="Times New Roman"/>
          <w:sz w:val="24"/>
          <w:szCs w:val="24"/>
        </w:rPr>
        <w:t xml:space="preserve">Hipertansiyon, hematom, </w:t>
      </w:r>
      <w:r w:rsidR="00271419">
        <w:rPr>
          <w:rFonts w:ascii="Times New Roman" w:hAnsi="Times New Roman"/>
          <w:sz w:val="24"/>
          <w:szCs w:val="24"/>
        </w:rPr>
        <w:t xml:space="preserve">subdural hematom, </w:t>
      </w:r>
      <w:r w:rsidR="00396DF1" w:rsidRPr="004B3EB9">
        <w:rPr>
          <w:rFonts w:ascii="Times New Roman" w:hAnsi="Times New Roman"/>
          <w:sz w:val="24"/>
          <w:szCs w:val="24"/>
        </w:rPr>
        <w:t>periferik soğukluk, hipotansiyon, Raynaud</w:t>
      </w:r>
      <w:r w:rsidRPr="004B3EB9">
        <w:rPr>
          <w:rFonts w:ascii="Times New Roman" w:hAnsi="Times New Roman"/>
          <w:sz w:val="24"/>
          <w:szCs w:val="24"/>
        </w:rPr>
        <w:t xml:space="preserve"> </w:t>
      </w:r>
      <w:proofErr w:type="gramStart"/>
      <w:r w:rsidR="0032057E" w:rsidRPr="004B3EB9">
        <w:rPr>
          <w:rFonts w:ascii="Times New Roman" w:hAnsi="Times New Roman"/>
          <w:sz w:val="24"/>
          <w:szCs w:val="24"/>
        </w:rPr>
        <w:t>fenomeni</w:t>
      </w:r>
      <w:proofErr w:type="gramEnd"/>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Solunum, göğüs bozuklukla</w:t>
      </w:r>
      <w:r w:rsidR="004F3870" w:rsidRPr="004B3EB9">
        <w:rPr>
          <w:rFonts w:ascii="Times New Roman" w:hAnsi="Times New Roman"/>
          <w:b/>
          <w:bCs/>
          <w:sz w:val="24"/>
          <w:szCs w:val="24"/>
        </w:rPr>
        <w:t>rı</w:t>
      </w:r>
      <w:r w:rsidRPr="004B3EB9">
        <w:rPr>
          <w:rFonts w:ascii="Times New Roman" w:hAnsi="Times New Roman"/>
          <w:b/>
          <w:bCs/>
          <w:sz w:val="24"/>
          <w:szCs w:val="24"/>
        </w:rPr>
        <w:t xml:space="preserve"> ve mediastinal hastalıklar</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271419">
        <w:rPr>
          <w:rFonts w:ascii="Times New Roman" w:hAnsi="Times New Roman"/>
          <w:sz w:val="24"/>
          <w:szCs w:val="24"/>
        </w:rPr>
        <w:tab/>
      </w:r>
      <w:r w:rsidR="0032057E" w:rsidRPr="004B3EB9">
        <w:rPr>
          <w:rFonts w:ascii="Times New Roman" w:hAnsi="Times New Roman"/>
          <w:sz w:val="24"/>
          <w:szCs w:val="24"/>
        </w:rPr>
        <w:t>Dispne, burun kanaması, öksürük</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w:t>
      </w:r>
      <w:r w:rsidR="007711E8" w:rsidRPr="004B3EB9">
        <w:rPr>
          <w:rFonts w:ascii="Times New Roman" w:hAnsi="Times New Roman"/>
          <w:sz w:val="24"/>
          <w:szCs w:val="24"/>
        </w:rPr>
        <w:t xml:space="preserve"> </w:t>
      </w:r>
      <w:r w:rsidR="00271419">
        <w:rPr>
          <w:rFonts w:ascii="Times New Roman" w:hAnsi="Times New Roman"/>
          <w:sz w:val="24"/>
          <w:szCs w:val="24"/>
        </w:rPr>
        <w:tab/>
      </w:r>
      <w:r w:rsidR="007711E8" w:rsidRPr="004B3EB9">
        <w:rPr>
          <w:rFonts w:ascii="Times New Roman" w:hAnsi="Times New Roman"/>
          <w:sz w:val="24"/>
          <w:szCs w:val="24"/>
        </w:rPr>
        <w:t>Plevra efüzyonu</w:t>
      </w:r>
      <w:r w:rsidR="00396DF1" w:rsidRPr="004B3EB9">
        <w:rPr>
          <w:rFonts w:ascii="Times New Roman" w:hAnsi="Times New Roman"/>
          <w:sz w:val="24"/>
          <w:szCs w:val="24"/>
        </w:rPr>
        <w:t xml:space="preserve">, faringolaringeal </w:t>
      </w:r>
      <w:r w:rsidRPr="004B3EB9">
        <w:rPr>
          <w:rFonts w:ascii="Times New Roman" w:hAnsi="Times New Roman"/>
          <w:sz w:val="24"/>
          <w:szCs w:val="24"/>
        </w:rPr>
        <w:t>ağrı</w:t>
      </w:r>
      <w:r w:rsidR="0032057E" w:rsidRPr="004B3EB9">
        <w:rPr>
          <w:rFonts w:ascii="Times New Roman" w:hAnsi="Times New Roman"/>
          <w:sz w:val="24"/>
          <w:szCs w:val="24"/>
        </w:rPr>
        <w:t>, farenjit</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271419">
        <w:rPr>
          <w:rFonts w:ascii="Times New Roman" w:hAnsi="Times New Roman"/>
          <w:sz w:val="24"/>
          <w:szCs w:val="24"/>
        </w:rPr>
        <w:tab/>
      </w:r>
      <w:r w:rsidRPr="004B3EB9">
        <w:rPr>
          <w:rFonts w:ascii="Times New Roman" w:hAnsi="Times New Roman"/>
          <w:sz w:val="24"/>
          <w:szCs w:val="24"/>
        </w:rPr>
        <w:t xml:space="preserve">Plevra </w:t>
      </w:r>
      <w:r w:rsidR="004F3870" w:rsidRPr="004B3EB9">
        <w:rPr>
          <w:rFonts w:ascii="Times New Roman" w:hAnsi="Times New Roman"/>
          <w:sz w:val="24"/>
          <w:szCs w:val="24"/>
        </w:rPr>
        <w:t>ağrı</w:t>
      </w:r>
      <w:r w:rsidRPr="004B3EB9">
        <w:rPr>
          <w:rFonts w:ascii="Times New Roman" w:hAnsi="Times New Roman"/>
          <w:sz w:val="24"/>
          <w:szCs w:val="24"/>
        </w:rPr>
        <w:t>sı, pulmoner fibroz, pulmoner hip</w:t>
      </w:r>
      <w:r w:rsidR="0032057E" w:rsidRPr="004B3EB9">
        <w:rPr>
          <w:rFonts w:ascii="Times New Roman" w:hAnsi="Times New Roman"/>
          <w:sz w:val="24"/>
          <w:szCs w:val="24"/>
        </w:rPr>
        <w:t>ertansiyon, pulmoner kanama</w:t>
      </w:r>
    </w:p>
    <w:p w:rsidR="00F36470" w:rsidRDefault="00F36470" w:rsidP="00C86B5D">
      <w:pPr>
        <w:tabs>
          <w:tab w:val="left" w:pos="1985"/>
        </w:tabs>
        <w:spacing w:after="0"/>
        <w:ind w:left="1985" w:hanging="1985"/>
        <w:jc w:val="both"/>
        <w:rPr>
          <w:rFonts w:ascii="Times New Roman" w:hAnsi="Times New Roman"/>
          <w:sz w:val="24"/>
          <w:szCs w:val="24"/>
        </w:rPr>
      </w:pPr>
    </w:p>
    <w:p w:rsidR="008B6554" w:rsidRPr="004B3EB9" w:rsidRDefault="008B6554"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Gastrointestinal hastalıklar</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AC54D8">
        <w:rPr>
          <w:rFonts w:ascii="Times New Roman" w:hAnsi="Times New Roman"/>
          <w:sz w:val="24"/>
          <w:szCs w:val="24"/>
        </w:rPr>
        <w:tab/>
      </w:r>
      <w:r w:rsidRPr="004B3EB9">
        <w:rPr>
          <w:rFonts w:ascii="Times New Roman" w:hAnsi="Times New Roman"/>
          <w:sz w:val="24"/>
          <w:szCs w:val="24"/>
        </w:rPr>
        <w:t>Bulantı, ishal, kusma, dispepsi, ka</w:t>
      </w:r>
      <w:r w:rsidR="0032057E" w:rsidRPr="004B3EB9">
        <w:rPr>
          <w:rFonts w:ascii="Times New Roman" w:hAnsi="Times New Roman"/>
          <w:sz w:val="24"/>
          <w:szCs w:val="24"/>
        </w:rPr>
        <w:t>rı</w:t>
      </w:r>
      <w:r w:rsidRPr="004B3EB9">
        <w:rPr>
          <w:rFonts w:ascii="Times New Roman" w:hAnsi="Times New Roman"/>
          <w:sz w:val="24"/>
          <w:szCs w:val="24"/>
        </w:rPr>
        <w:t xml:space="preserve">n </w:t>
      </w:r>
      <w:r w:rsidR="004F3870" w:rsidRPr="004B3EB9">
        <w:rPr>
          <w:rFonts w:ascii="Times New Roman" w:hAnsi="Times New Roman"/>
          <w:sz w:val="24"/>
          <w:szCs w:val="24"/>
        </w:rPr>
        <w:t>ağrı</w:t>
      </w:r>
      <w:r w:rsidR="0032057E" w:rsidRPr="004B3EB9">
        <w:rPr>
          <w:rFonts w:ascii="Times New Roman" w:hAnsi="Times New Roman"/>
          <w:sz w:val="24"/>
          <w:szCs w:val="24"/>
        </w:rPr>
        <w:t>sı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AC54D8">
        <w:rPr>
          <w:rFonts w:ascii="Times New Roman" w:hAnsi="Times New Roman"/>
          <w:sz w:val="24"/>
          <w:szCs w:val="24"/>
        </w:rPr>
        <w:tab/>
      </w:r>
      <w:r w:rsidR="00396DF1" w:rsidRPr="004B3EB9">
        <w:rPr>
          <w:rFonts w:ascii="Times New Roman" w:hAnsi="Times New Roman"/>
          <w:sz w:val="24"/>
          <w:szCs w:val="24"/>
        </w:rPr>
        <w:t>Aşı</w:t>
      </w:r>
      <w:r w:rsidR="001D024B" w:rsidRPr="004B3EB9">
        <w:rPr>
          <w:rFonts w:ascii="Times New Roman" w:hAnsi="Times New Roman"/>
          <w:sz w:val="24"/>
          <w:szCs w:val="24"/>
        </w:rPr>
        <w:t>rı</w:t>
      </w:r>
      <w:r w:rsidR="00396DF1" w:rsidRPr="004B3EB9">
        <w:rPr>
          <w:rFonts w:ascii="Times New Roman" w:hAnsi="Times New Roman"/>
          <w:sz w:val="24"/>
          <w:szCs w:val="24"/>
        </w:rPr>
        <w:t xml:space="preserve"> miktarda barsak gazları, karında gerilme, gastro-özofageal reflü, kabızlık, </w:t>
      </w:r>
      <w:r w:rsidR="0032057E" w:rsidRPr="004B3EB9">
        <w:rPr>
          <w:rFonts w:ascii="Times New Roman" w:hAnsi="Times New Roman"/>
          <w:sz w:val="24"/>
          <w:szCs w:val="24"/>
        </w:rPr>
        <w:t>ağız kuruması, gastrit</w:t>
      </w:r>
    </w:p>
    <w:p w:rsidR="004F3870"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AC54D8">
        <w:rPr>
          <w:rFonts w:ascii="Times New Roman" w:hAnsi="Times New Roman"/>
          <w:sz w:val="24"/>
          <w:szCs w:val="24"/>
        </w:rPr>
        <w:tab/>
      </w:r>
      <w:r w:rsidRPr="004B3EB9">
        <w:rPr>
          <w:rFonts w:ascii="Times New Roman" w:hAnsi="Times New Roman"/>
          <w:sz w:val="24"/>
          <w:szCs w:val="24"/>
        </w:rPr>
        <w:t>Stomatit, ağız ülserasyonu, gastrointestinal kanama, geğirme, melena, özofajit, asit, gastrik ülseri, kan kusma, dudak</w:t>
      </w:r>
      <w:r w:rsidR="004F3870" w:rsidRPr="004B3EB9">
        <w:rPr>
          <w:rFonts w:ascii="Times New Roman" w:hAnsi="Times New Roman"/>
          <w:sz w:val="24"/>
          <w:szCs w:val="24"/>
        </w:rPr>
        <w:t xml:space="preserve"> iltihabı, disfaji, pankreatit</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AC54D8">
        <w:rPr>
          <w:rFonts w:ascii="Times New Roman" w:hAnsi="Times New Roman"/>
          <w:sz w:val="24"/>
          <w:szCs w:val="24"/>
        </w:rPr>
        <w:tab/>
      </w:r>
      <w:r w:rsidRPr="004B3EB9">
        <w:rPr>
          <w:rFonts w:ascii="Times New Roman" w:hAnsi="Times New Roman"/>
          <w:sz w:val="24"/>
          <w:szCs w:val="24"/>
        </w:rPr>
        <w:t>Kolit, ileu</w:t>
      </w:r>
      <w:r w:rsidR="005D0157" w:rsidRPr="004B3EB9">
        <w:rPr>
          <w:rFonts w:ascii="Times New Roman" w:hAnsi="Times New Roman"/>
          <w:sz w:val="24"/>
          <w:szCs w:val="24"/>
        </w:rPr>
        <w:t>s, enflamatuar barsak hastalığı</w:t>
      </w:r>
    </w:p>
    <w:p w:rsidR="00AC54D8" w:rsidRPr="004B3EB9" w:rsidRDefault="00AC54D8"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Hepato-biliyer hastalıklar</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AC54D8">
        <w:rPr>
          <w:rFonts w:ascii="Times New Roman" w:hAnsi="Times New Roman"/>
          <w:sz w:val="24"/>
          <w:szCs w:val="24"/>
        </w:rPr>
        <w:tab/>
      </w:r>
      <w:r w:rsidR="00396DF1" w:rsidRPr="004B3EB9">
        <w:rPr>
          <w:rFonts w:ascii="Times New Roman" w:hAnsi="Times New Roman"/>
          <w:sz w:val="24"/>
          <w:szCs w:val="24"/>
        </w:rPr>
        <w:t>Karaciğer enzimlerinde artış</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AC54D8">
        <w:rPr>
          <w:rFonts w:ascii="Times New Roman" w:hAnsi="Times New Roman"/>
          <w:sz w:val="24"/>
          <w:szCs w:val="24"/>
        </w:rPr>
        <w:tab/>
      </w:r>
      <w:r w:rsidR="00396DF1" w:rsidRPr="004B3EB9">
        <w:rPr>
          <w:rFonts w:ascii="Times New Roman" w:hAnsi="Times New Roman"/>
          <w:sz w:val="24"/>
          <w:szCs w:val="24"/>
        </w:rPr>
        <w:t>Hiperbilirübinemi, hepatit, sa</w:t>
      </w:r>
      <w:r w:rsidR="001D024B" w:rsidRPr="004B3EB9">
        <w:rPr>
          <w:rFonts w:ascii="Times New Roman" w:hAnsi="Times New Roman"/>
          <w:sz w:val="24"/>
          <w:szCs w:val="24"/>
        </w:rPr>
        <w:t>rı</w:t>
      </w:r>
      <w:r w:rsidR="0032057E" w:rsidRPr="004B3EB9">
        <w:rPr>
          <w:rFonts w:ascii="Times New Roman" w:hAnsi="Times New Roman"/>
          <w:sz w:val="24"/>
          <w:szCs w:val="24"/>
        </w:rPr>
        <w:t>lık</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AC54D8">
        <w:rPr>
          <w:rFonts w:ascii="Times New Roman" w:hAnsi="Times New Roman"/>
          <w:sz w:val="24"/>
          <w:szCs w:val="24"/>
        </w:rPr>
        <w:tab/>
      </w:r>
      <w:r w:rsidRPr="004B3EB9">
        <w:rPr>
          <w:rFonts w:ascii="Times New Roman" w:hAnsi="Times New Roman"/>
          <w:sz w:val="24"/>
          <w:szCs w:val="24"/>
        </w:rPr>
        <w:t>Karaciğer yetmezliği, hepatik nekroz</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Deri ve deri altı doku hastalıkları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AC54D8">
        <w:rPr>
          <w:rFonts w:ascii="Times New Roman" w:hAnsi="Times New Roman"/>
          <w:sz w:val="24"/>
          <w:szCs w:val="24"/>
        </w:rPr>
        <w:tab/>
      </w:r>
      <w:r w:rsidRPr="004B3EB9">
        <w:rPr>
          <w:rFonts w:ascii="Times New Roman" w:hAnsi="Times New Roman"/>
          <w:sz w:val="24"/>
          <w:szCs w:val="24"/>
        </w:rPr>
        <w:t>Periorbital ödem, dermatit/egzama/deri döküntüsü.</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AC54D8">
        <w:rPr>
          <w:rFonts w:ascii="Times New Roman" w:hAnsi="Times New Roman"/>
          <w:sz w:val="24"/>
          <w:szCs w:val="24"/>
        </w:rPr>
        <w:tab/>
      </w:r>
      <w:r w:rsidRPr="004B3EB9">
        <w:rPr>
          <w:rFonts w:ascii="Times New Roman" w:hAnsi="Times New Roman"/>
          <w:sz w:val="24"/>
          <w:szCs w:val="24"/>
        </w:rPr>
        <w:t>Kaşıntı, yüz ödemi, deride kuruma, eritem, alopesi, gece terlemeleri, ışığa</w:t>
      </w:r>
      <w:r w:rsidR="004F3870" w:rsidRPr="004B3EB9">
        <w:rPr>
          <w:rFonts w:ascii="Times New Roman" w:hAnsi="Times New Roman"/>
          <w:sz w:val="24"/>
          <w:szCs w:val="24"/>
        </w:rPr>
        <w:t xml:space="preserve"> </w:t>
      </w:r>
      <w:r w:rsidR="0032057E" w:rsidRPr="004B3EB9">
        <w:rPr>
          <w:rFonts w:ascii="Times New Roman" w:hAnsi="Times New Roman"/>
          <w:sz w:val="24"/>
          <w:szCs w:val="24"/>
        </w:rPr>
        <w:t>duyarlılık reaksiyonu</w:t>
      </w:r>
    </w:p>
    <w:p w:rsidR="004F3870"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5F0A36">
        <w:rPr>
          <w:rFonts w:ascii="Times New Roman" w:hAnsi="Times New Roman"/>
          <w:sz w:val="24"/>
          <w:szCs w:val="24"/>
        </w:rPr>
        <w:tab/>
      </w:r>
      <w:r w:rsidR="00396DF1" w:rsidRPr="004B3EB9">
        <w:rPr>
          <w:rFonts w:ascii="Times New Roman" w:hAnsi="Times New Roman"/>
          <w:sz w:val="24"/>
          <w:szCs w:val="24"/>
        </w:rPr>
        <w:t>Püstüler döküntü, kontüzyon, terlemede artış, ürtiker, ekimoz, çürük</w:t>
      </w:r>
      <w:r w:rsidRPr="004B3EB9">
        <w:rPr>
          <w:rFonts w:ascii="Times New Roman" w:hAnsi="Times New Roman"/>
          <w:sz w:val="24"/>
          <w:szCs w:val="24"/>
        </w:rPr>
        <w:t xml:space="preserve"> </w:t>
      </w:r>
      <w:r w:rsidR="00396DF1" w:rsidRPr="004B3EB9">
        <w:rPr>
          <w:rFonts w:ascii="Times New Roman" w:hAnsi="Times New Roman"/>
          <w:sz w:val="24"/>
          <w:szCs w:val="24"/>
        </w:rPr>
        <w:t>eğiliminde artış, hipotrikoz, deride hipopigmentasyon, eksfoliyatif dermatit, tırnak</w:t>
      </w:r>
      <w:r w:rsidRPr="004B3EB9">
        <w:rPr>
          <w:rFonts w:ascii="Times New Roman" w:hAnsi="Times New Roman"/>
          <w:sz w:val="24"/>
          <w:szCs w:val="24"/>
        </w:rPr>
        <w:t xml:space="preserve"> </w:t>
      </w:r>
      <w:r w:rsidR="00396DF1" w:rsidRPr="004B3EB9">
        <w:rPr>
          <w:rFonts w:ascii="Times New Roman" w:hAnsi="Times New Roman"/>
          <w:sz w:val="24"/>
          <w:szCs w:val="24"/>
        </w:rPr>
        <w:t>kırılması,</w:t>
      </w:r>
      <w:r w:rsidR="00791617" w:rsidRPr="004B3EB9">
        <w:rPr>
          <w:rFonts w:ascii="Times New Roman" w:hAnsi="Times New Roman"/>
          <w:sz w:val="24"/>
          <w:szCs w:val="24"/>
        </w:rPr>
        <w:t xml:space="preserve"> </w:t>
      </w:r>
      <w:r w:rsidR="00396DF1" w:rsidRPr="004B3EB9">
        <w:rPr>
          <w:rFonts w:ascii="Times New Roman" w:hAnsi="Times New Roman"/>
          <w:sz w:val="24"/>
          <w:szCs w:val="24"/>
        </w:rPr>
        <w:t>folikülit,</w:t>
      </w:r>
      <w:r w:rsidR="00791617" w:rsidRPr="004B3EB9">
        <w:rPr>
          <w:rFonts w:ascii="Times New Roman" w:hAnsi="Times New Roman"/>
          <w:sz w:val="24"/>
          <w:szCs w:val="24"/>
        </w:rPr>
        <w:t xml:space="preserve"> </w:t>
      </w:r>
      <w:r w:rsidR="00396DF1" w:rsidRPr="004B3EB9">
        <w:rPr>
          <w:rFonts w:ascii="Times New Roman" w:hAnsi="Times New Roman"/>
          <w:sz w:val="24"/>
          <w:szCs w:val="24"/>
        </w:rPr>
        <w:t>peteşiler,</w:t>
      </w:r>
      <w:r w:rsidR="00791617" w:rsidRPr="004B3EB9">
        <w:rPr>
          <w:rFonts w:ascii="Times New Roman" w:hAnsi="Times New Roman"/>
          <w:sz w:val="24"/>
          <w:szCs w:val="24"/>
        </w:rPr>
        <w:t xml:space="preserve"> </w:t>
      </w:r>
      <w:r w:rsidR="00396DF1" w:rsidRPr="004B3EB9">
        <w:rPr>
          <w:rFonts w:ascii="Times New Roman" w:hAnsi="Times New Roman"/>
          <w:sz w:val="24"/>
          <w:szCs w:val="24"/>
        </w:rPr>
        <w:t>psoriazis,</w:t>
      </w:r>
      <w:r w:rsidR="00791617" w:rsidRPr="004B3EB9">
        <w:rPr>
          <w:rFonts w:ascii="Times New Roman" w:hAnsi="Times New Roman"/>
          <w:sz w:val="24"/>
          <w:szCs w:val="24"/>
        </w:rPr>
        <w:t xml:space="preserve"> </w:t>
      </w:r>
      <w:r w:rsidR="00396DF1" w:rsidRPr="004B3EB9">
        <w:rPr>
          <w:rFonts w:ascii="Times New Roman" w:hAnsi="Times New Roman"/>
          <w:sz w:val="24"/>
          <w:szCs w:val="24"/>
        </w:rPr>
        <w:t>purpura,</w:t>
      </w:r>
      <w:r w:rsidR="00791617" w:rsidRPr="004B3EB9">
        <w:rPr>
          <w:rFonts w:ascii="Times New Roman" w:hAnsi="Times New Roman"/>
          <w:sz w:val="24"/>
          <w:szCs w:val="24"/>
        </w:rPr>
        <w:t xml:space="preserve"> </w:t>
      </w:r>
      <w:r w:rsidR="00396DF1" w:rsidRPr="004B3EB9">
        <w:rPr>
          <w:rFonts w:ascii="Times New Roman" w:hAnsi="Times New Roman"/>
          <w:sz w:val="24"/>
          <w:szCs w:val="24"/>
        </w:rPr>
        <w:t>deride hiperpigmentasyon,</w:t>
      </w:r>
      <w:r w:rsidR="00791617" w:rsidRPr="004B3EB9">
        <w:rPr>
          <w:rFonts w:ascii="Times New Roman" w:hAnsi="Times New Roman"/>
          <w:sz w:val="24"/>
          <w:szCs w:val="24"/>
        </w:rPr>
        <w:t xml:space="preserve"> </w:t>
      </w:r>
      <w:r w:rsidR="00396DF1" w:rsidRPr="004B3EB9">
        <w:rPr>
          <w:rFonts w:ascii="Times New Roman" w:hAnsi="Times New Roman"/>
          <w:sz w:val="24"/>
          <w:szCs w:val="24"/>
        </w:rPr>
        <w:t>büllöz</w:t>
      </w:r>
      <w:r w:rsidRPr="004B3EB9">
        <w:rPr>
          <w:rFonts w:ascii="Times New Roman" w:hAnsi="Times New Roman"/>
          <w:sz w:val="24"/>
          <w:szCs w:val="24"/>
        </w:rPr>
        <w:t xml:space="preserve"> </w:t>
      </w:r>
      <w:r w:rsidR="0032057E" w:rsidRPr="004B3EB9">
        <w:rPr>
          <w:rFonts w:ascii="Times New Roman" w:hAnsi="Times New Roman"/>
          <w:sz w:val="24"/>
          <w:szCs w:val="24"/>
        </w:rPr>
        <w:t>erupsiyonlar</w:t>
      </w:r>
      <w:r w:rsidRPr="004B3EB9">
        <w:rPr>
          <w:rFonts w:ascii="Times New Roman" w:hAnsi="Times New Roman"/>
          <w:sz w:val="24"/>
          <w:szCs w:val="24"/>
        </w:rPr>
        <w:t xml:space="preserve"> </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Seyrek:</w:t>
      </w:r>
      <w:r w:rsidR="00791617" w:rsidRPr="004B3EB9">
        <w:rPr>
          <w:rFonts w:ascii="Times New Roman" w:hAnsi="Times New Roman"/>
          <w:sz w:val="24"/>
          <w:szCs w:val="24"/>
        </w:rPr>
        <w:t xml:space="preserve"> </w:t>
      </w:r>
      <w:r w:rsidR="005F0A36">
        <w:rPr>
          <w:rFonts w:ascii="Times New Roman" w:hAnsi="Times New Roman"/>
          <w:sz w:val="24"/>
          <w:szCs w:val="24"/>
        </w:rPr>
        <w:tab/>
      </w:r>
      <w:r w:rsidRPr="004B3EB9">
        <w:rPr>
          <w:rFonts w:ascii="Times New Roman" w:hAnsi="Times New Roman"/>
          <w:sz w:val="24"/>
          <w:szCs w:val="24"/>
        </w:rPr>
        <w:t>Akut febril nöt</w:t>
      </w:r>
      <w:r w:rsidR="0032057E" w:rsidRPr="004B3EB9">
        <w:rPr>
          <w:rFonts w:ascii="Times New Roman" w:hAnsi="Times New Roman"/>
          <w:sz w:val="24"/>
          <w:szCs w:val="24"/>
        </w:rPr>
        <w:t>rofilik dermatoz (Sweet</w:t>
      </w:r>
      <w:r w:rsidR="00F54064">
        <w:rPr>
          <w:rFonts w:ascii="Times New Roman" w:hAnsi="Times New Roman"/>
          <w:sz w:val="24"/>
          <w:szCs w:val="24"/>
        </w:rPr>
        <w:t>’</w:t>
      </w:r>
      <w:r w:rsidR="0032057E" w:rsidRPr="004B3EB9">
        <w:rPr>
          <w:rFonts w:ascii="Times New Roman" w:hAnsi="Times New Roman"/>
          <w:sz w:val="24"/>
          <w:szCs w:val="24"/>
        </w:rPr>
        <w:t>s hastalı</w:t>
      </w:r>
      <w:r w:rsidRPr="004B3EB9">
        <w:rPr>
          <w:rFonts w:ascii="Times New Roman" w:hAnsi="Times New Roman"/>
          <w:sz w:val="24"/>
          <w:szCs w:val="24"/>
        </w:rPr>
        <w:t>ğı), tırnakta renk kaybı,</w:t>
      </w:r>
      <w:r w:rsidR="004F3870" w:rsidRPr="004B3EB9">
        <w:rPr>
          <w:rFonts w:ascii="Times New Roman" w:hAnsi="Times New Roman"/>
          <w:sz w:val="24"/>
          <w:szCs w:val="24"/>
        </w:rPr>
        <w:t xml:space="preserve"> </w:t>
      </w:r>
      <w:r w:rsidRPr="004B3EB9">
        <w:rPr>
          <w:rFonts w:ascii="Times New Roman" w:hAnsi="Times New Roman"/>
          <w:sz w:val="24"/>
          <w:szCs w:val="24"/>
        </w:rPr>
        <w:t>anjiyonörotik ödem, veziküler döküntü, eritem multiform, lökositoklastik vaskülit,</w:t>
      </w:r>
      <w:r w:rsidR="004F3870" w:rsidRPr="004B3EB9">
        <w:rPr>
          <w:rFonts w:ascii="Times New Roman" w:hAnsi="Times New Roman"/>
          <w:sz w:val="24"/>
          <w:szCs w:val="24"/>
        </w:rPr>
        <w:t xml:space="preserve"> </w:t>
      </w:r>
      <w:r w:rsidRPr="004B3EB9">
        <w:rPr>
          <w:rFonts w:ascii="Times New Roman" w:hAnsi="Times New Roman"/>
          <w:sz w:val="24"/>
          <w:szCs w:val="24"/>
        </w:rPr>
        <w:t xml:space="preserve">Stevens-Johnson </w:t>
      </w:r>
      <w:proofErr w:type="gramStart"/>
      <w:r w:rsidRPr="004B3EB9">
        <w:rPr>
          <w:rFonts w:ascii="Times New Roman" w:hAnsi="Times New Roman"/>
          <w:sz w:val="24"/>
          <w:szCs w:val="24"/>
        </w:rPr>
        <w:t>sendromu</w:t>
      </w:r>
      <w:proofErr w:type="gramEnd"/>
      <w:r w:rsidRPr="004B3EB9">
        <w:rPr>
          <w:rFonts w:ascii="Times New Roman" w:hAnsi="Times New Roman"/>
          <w:sz w:val="24"/>
          <w:szCs w:val="24"/>
        </w:rPr>
        <w:t>, akut jeneralize ekzantematöz püstülozis (AGEP).</w:t>
      </w:r>
    </w:p>
    <w:p w:rsidR="00070826" w:rsidRPr="004B3EB9" w:rsidRDefault="00070826"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Kas-iskelet bozukluklar, bağ doku ve kemik hastalıkları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5F0A36">
        <w:rPr>
          <w:rFonts w:ascii="Times New Roman" w:hAnsi="Times New Roman"/>
          <w:sz w:val="24"/>
          <w:szCs w:val="24"/>
        </w:rPr>
        <w:tab/>
      </w:r>
      <w:r w:rsidRPr="004B3EB9">
        <w:rPr>
          <w:rFonts w:ascii="Times New Roman" w:hAnsi="Times New Roman"/>
          <w:sz w:val="24"/>
          <w:szCs w:val="24"/>
        </w:rPr>
        <w:t>Kas spazmla</w:t>
      </w:r>
      <w:r w:rsidR="004F3870" w:rsidRPr="004B3EB9">
        <w:rPr>
          <w:rFonts w:ascii="Times New Roman" w:hAnsi="Times New Roman"/>
          <w:sz w:val="24"/>
          <w:szCs w:val="24"/>
        </w:rPr>
        <w:t>rı</w:t>
      </w:r>
      <w:r w:rsidRPr="004B3EB9">
        <w:rPr>
          <w:rFonts w:ascii="Times New Roman" w:hAnsi="Times New Roman"/>
          <w:sz w:val="24"/>
          <w:szCs w:val="24"/>
        </w:rPr>
        <w:t xml:space="preserve"> ve krampları, miyalji, artralji, kemik </w:t>
      </w:r>
      <w:r w:rsidR="004F3870" w:rsidRPr="004B3EB9">
        <w:rPr>
          <w:rFonts w:ascii="Times New Roman" w:hAnsi="Times New Roman"/>
          <w:sz w:val="24"/>
          <w:szCs w:val="24"/>
        </w:rPr>
        <w:t>ağrı</w:t>
      </w:r>
      <w:r w:rsidRPr="004B3EB9">
        <w:rPr>
          <w:rFonts w:ascii="Times New Roman" w:hAnsi="Times New Roman"/>
          <w:sz w:val="24"/>
          <w:szCs w:val="24"/>
        </w:rPr>
        <w:t xml:space="preserve">sı da </w:t>
      </w:r>
      <w:proofErr w:type="gramStart"/>
      <w:r w:rsidRPr="004B3EB9">
        <w:rPr>
          <w:rFonts w:ascii="Times New Roman" w:hAnsi="Times New Roman"/>
          <w:sz w:val="24"/>
          <w:szCs w:val="24"/>
        </w:rPr>
        <w:t>dahil</w:t>
      </w:r>
      <w:proofErr w:type="gramEnd"/>
      <w:r w:rsidRPr="004B3EB9">
        <w:rPr>
          <w:rFonts w:ascii="Times New Roman" w:hAnsi="Times New Roman"/>
          <w:sz w:val="24"/>
          <w:szCs w:val="24"/>
        </w:rPr>
        <w:t xml:space="preserve"> olmak</w:t>
      </w:r>
      <w:r w:rsidR="004F3870" w:rsidRPr="004B3EB9">
        <w:rPr>
          <w:rFonts w:ascii="Times New Roman" w:hAnsi="Times New Roman"/>
          <w:sz w:val="24"/>
          <w:szCs w:val="24"/>
        </w:rPr>
        <w:t xml:space="preserve"> </w:t>
      </w:r>
      <w:r w:rsidRPr="004B3EB9">
        <w:rPr>
          <w:rFonts w:ascii="Times New Roman" w:hAnsi="Times New Roman"/>
          <w:sz w:val="24"/>
          <w:szCs w:val="24"/>
        </w:rPr>
        <w:t>üzere kas-iskelet ağrıları.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5F0A36">
        <w:rPr>
          <w:rFonts w:ascii="Times New Roman" w:hAnsi="Times New Roman"/>
          <w:sz w:val="24"/>
          <w:szCs w:val="24"/>
        </w:rPr>
        <w:tab/>
      </w:r>
      <w:r w:rsidR="00396DF1" w:rsidRPr="004B3EB9">
        <w:rPr>
          <w:rFonts w:ascii="Times New Roman" w:hAnsi="Times New Roman"/>
          <w:sz w:val="24"/>
          <w:szCs w:val="24"/>
        </w:rPr>
        <w:t>Eklemlerde şişme.</w:t>
      </w:r>
    </w:p>
    <w:p w:rsidR="00F3186B"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 olmayan:</w:t>
      </w:r>
      <w:r w:rsidR="00F3186B" w:rsidRPr="004B3EB9">
        <w:rPr>
          <w:rFonts w:ascii="Times New Roman" w:hAnsi="Times New Roman"/>
          <w:sz w:val="24"/>
          <w:szCs w:val="24"/>
        </w:rPr>
        <w:t xml:space="preserve"> </w:t>
      </w:r>
      <w:r w:rsidR="005F0A36">
        <w:rPr>
          <w:rFonts w:ascii="Times New Roman" w:hAnsi="Times New Roman"/>
          <w:sz w:val="24"/>
          <w:szCs w:val="24"/>
        </w:rPr>
        <w:tab/>
      </w:r>
      <w:r w:rsidR="00F3186B" w:rsidRPr="004B3EB9">
        <w:rPr>
          <w:rFonts w:ascii="Times New Roman" w:hAnsi="Times New Roman"/>
          <w:sz w:val="24"/>
          <w:szCs w:val="24"/>
        </w:rPr>
        <w:t>Kaslarda ve eklemlerde sertlik</w:t>
      </w:r>
    </w:p>
    <w:p w:rsidR="00396DF1" w:rsidRPr="004B3EB9" w:rsidRDefault="00E3177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5F0A36">
        <w:rPr>
          <w:rFonts w:ascii="Times New Roman" w:hAnsi="Times New Roman"/>
          <w:sz w:val="24"/>
          <w:szCs w:val="24"/>
        </w:rPr>
        <w:tab/>
      </w:r>
      <w:r w:rsidRPr="004B3EB9">
        <w:rPr>
          <w:rFonts w:ascii="Times New Roman" w:hAnsi="Times New Roman"/>
          <w:sz w:val="24"/>
          <w:szCs w:val="24"/>
        </w:rPr>
        <w:t>Kas zayıflığı, artrit</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Böbrek ve idrar hastalıkları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5F0A36">
        <w:rPr>
          <w:rFonts w:ascii="Times New Roman" w:hAnsi="Times New Roman"/>
          <w:sz w:val="24"/>
          <w:szCs w:val="24"/>
        </w:rPr>
        <w:tab/>
      </w:r>
      <w:r w:rsidR="00396DF1" w:rsidRPr="004B3EB9">
        <w:rPr>
          <w:rFonts w:ascii="Times New Roman" w:hAnsi="Times New Roman"/>
          <w:sz w:val="24"/>
          <w:szCs w:val="24"/>
        </w:rPr>
        <w:t xml:space="preserve">Böbrek </w:t>
      </w:r>
      <w:r w:rsidRPr="004B3EB9">
        <w:rPr>
          <w:rFonts w:ascii="Times New Roman" w:hAnsi="Times New Roman"/>
          <w:sz w:val="24"/>
          <w:szCs w:val="24"/>
        </w:rPr>
        <w:t>ağrı</w:t>
      </w:r>
      <w:r w:rsidR="00396DF1" w:rsidRPr="004B3EB9">
        <w:rPr>
          <w:rFonts w:ascii="Times New Roman" w:hAnsi="Times New Roman"/>
          <w:sz w:val="24"/>
          <w:szCs w:val="24"/>
        </w:rPr>
        <w:t>sı, hematüri, akut böbrek yetmezliği, sık sık idrar yapmak.</w:t>
      </w:r>
    </w:p>
    <w:p w:rsidR="005739A4" w:rsidRPr="004B3EB9" w:rsidRDefault="005739A4"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Üreme sistemi ve meme hastalıkları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5F0A36">
        <w:rPr>
          <w:rFonts w:ascii="Times New Roman" w:hAnsi="Times New Roman"/>
          <w:sz w:val="24"/>
          <w:szCs w:val="24"/>
        </w:rPr>
        <w:tab/>
      </w:r>
      <w:r w:rsidRPr="004B3EB9">
        <w:rPr>
          <w:rFonts w:ascii="Times New Roman" w:hAnsi="Times New Roman"/>
          <w:sz w:val="24"/>
          <w:szCs w:val="24"/>
        </w:rPr>
        <w:t>Jinekomasti, erektil disfonksiyon, menoraji, düzensiz menstr</w:t>
      </w:r>
      <w:r w:rsidR="00E31771" w:rsidRPr="004B3EB9">
        <w:rPr>
          <w:rFonts w:ascii="Times New Roman" w:hAnsi="Times New Roman"/>
          <w:sz w:val="24"/>
          <w:szCs w:val="24"/>
        </w:rPr>
        <w:t>ü</w:t>
      </w:r>
      <w:r w:rsidR="003176D1" w:rsidRPr="004B3EB9">
        <w:rPr>
          <w:rFonts w:ascii="Times New Roman" w:hAnsi="Times New Roman"/>
          <w:sz w:val="24"/>
          <w:szCs w:val="24"/>
        </w:rPr>
        <w:t>a</w:t>
      </w:r>
      <w:r w:rsidRPr="004B3EB9">
        <w:rPr>
          <w:rFonts w:ascii="Times New Roman" w:hAnsi="Times New Roman"/>
          <w:sz w:val="24"/>
          <w:szCs w:val="24"/>
        </w:rPr>
        <w:t xml:space="preserve">syon, cinsel disfonksiyon, meme başında </w:t>
      </w:r>
      <w:r w:rsidR="004F3870" w:rsidRPr="004B3EB9">
        <w:rPr>
          <w:rFonts w:ascii="Times New Roman" w:hAnsi="Times New Roman"/>
          <w:sz w:val="24"/>
          <w:szCs w:val="24"/>
        </w:rPr>
        <w:t>ağrı</w:t>
      </w:r>
      <w:r w:rsidRPr="004B3EB9">
        <w:rPr>
          <w:rFonts w:ascii="Times New Roman" w:hAnsi="Times New Roman"/>
          <w:sz w:val="24"/>
          <w:szCs w:val="24"/>
        </w:rPr>
        <w:t>, memelerde büyüme, skrotum ödemi</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Genel bozukluklar ve uygulama bölgesine ilişkin hastalıklar</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5F0A36">
        <w:rPr>
          <w:rFonts w:ascii="Times New Roman" w:hAnsi="Times New Roman"/>
          <w:sz w:val="24"/>
          <w:szCs w:val="24"/>
        </w:rPr>
        <w:tab/>
      </w:r>
      <w:r w:rsidRPr="004B3EB9">
        <w:rPr>
          <w:rFonts w:ascii="Times New Roman" w:hAnsi="Times New Roman"/>
          <w:sz w:val="24"/>
          <w:szCs w:val="24"/>
        </w:rPr>
        <w:t>Sıvı</w:t>
      </w:r>
      <w:r w:rsidR="00E31771" w:rsidRPr="004B3EB9">
        <w:rPr>
          <w:rFonts w:ascii="Times New Roman" w:hAnsi="Times New Roman"/>
          <w:sz w:val="24"/>
          <w:szCs w:val="24"/>
        </w:rPr>
        <w:t xml:space="preserve"> retansiyonu ve ödem, yorgunluk</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5F0A36">
        <w:rPr>
          <w:rFonts w:ascii="Times New Roman" w:hAnsi="Times New Roman"/>
          <w:sz w:val="24"/>
          <w:szCs w:val="24"/>
        </w:rPr>
        <w:tab/>
      </w:r>
      <w:r w:rsidRPr="004B3EB9">
        <w:rPr>
          <w:rFonts w:ascii="Times New Roman" w:hAnsi="Times New Roman"/>
          <w:sz w:val="24"/>
          <w:szCs w:val="24"/>
        </w:rPr>
        <w:t>Güçsüzlük, pireksi, anazarka, titreme</w:t>
      </w:r>
      <w:r w:rsidR="00E31771" w:rsidRPr="004B3EB9">
        <w:rPr>
          <w:rFonts w:ascii="Times New Roman" w:hAnsi="Times New Roman"/>
          <w:sz w:val="24"/>
          <w:szCs w:val="24"/>
        </w:rPr>
        <w:t xml:space="preserve"> nöbetleri, kaslarda sertlikler</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5F0A36">
        <w:rPr>
          <w:rFonts w:ascii="Times New Roman" w:hAnsi="Times New Roman"/>
          <w:sz w:val="24"/>
          <w:szCs w:val="24"/>
        </w:rPr>
        <w:tab/>
      </w:r>
      <w:r w:rsidRPr="004B3EB9">
        <w:rPr>
          <w:rFonts w:ascii="Times New Roman" w:hAnsi="Times New Roman"/>
          <w:sz w:val="24"/>
          <w:szCs w:val="24"/>
        </w:rPr>
        <w:t xml:space="preserve">Göğüs </w:t>
      </w:r>
      <w:r w:rsidR="004F3870" w:rsidRPr="004B3EB9">
        <w:rPr>
          <w:rFonts w:ascii="Times New Roman" w:hAnsi="Times New Roman"/>
          <w:sz w:val="24"/>
          <w:szCs w:val="24"/>
        </w:rPr>
        <w:t>ağrı</w:t>
      </w:r>
      <w:r w:rsidR="00E31771" w:rsidRPr="004B3EB9">
        <w:rPr>
          <w:rFonts w:ascii="Times New Roman" w:hAnsi="Times New Roman"/>
          <w:sz w:val="24"/>
          <w:szCs w:val="24"/>
        </w:rPr>
        <w:t>sı, huzursuzluk</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Laboratuvar bulguları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5F0A36">
        <w:rPr>
          <w:rFonts w:ascii="Times New Roman" w:hAnsi="Times New Roman"/>
          <w:sz w:val="24"/>
          <w:szCs w:val="24"/>
        </w:rPr>
        <w:tab/>
      </w:r>
      <w:r w:rsidRPr="004B3EB9">
        <w:rPr>
          <w:rFonts w:ascii="Times New Roman" w:hAnsi="Times New Roman"/>
          <w:sz w:val="24"/>
          <w:szCs w:val="24"/>
        </w:rPr>
        <w:t>Kilo artışı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5F0A36">
        <w:rPr>
          <w:rFonts w:ascii="Times New Roman" w:hAnsi="Times New Roman"/>
          <w:sz w:val="24"/>
          <w:szCs w:val="24"/>
        </w:rPr>
        <w:tab/>
      </w:r>
      <w:r w:rsidRPr="004B3EB9">
        <w:rPr>
          <w:rFonts w:ascii="Times New Roman" w:hAnsi="Times New Roman"/>
          <w:sz w:val="24"/>
          <w:szCs w:val="24"/>
        </w:rPr>
        <w:t>Kilo azalması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5F0A36">
        <w:rPr>
          <w:rFonts w:ascii="Times New Roman" w:hAnsi="Times New Roman"/>
          <w:sz w:val="24"/>
          <w:szCs w:val="24"/>
        </w:rPr>
        <w:tab/>
      </w:r>
      <w:r w:rsidR="00396DF1" w:rsidRPr="004B3EB9">
        <w:rPr>
          <w:rFonts w:ascii="Times New Roman" w:hAnsi="Times New Roman"/>
          <w:sz w:val="24"/>
          <w:szCs w:val="24"/>
        </w:rPr>
        <w:t>Kanda kreatinin düzeyinin yükselmesi, kandaki kreatin fosfokinaz</w:t>
      </w:r>
      <w:r w:rsidRPr="004B3EB9">
        <w:rPr>
          <w:rFonts w:ascii="Times New Roman" w:hAnsi="Times New Roman"/>
          <w:sz w:val="24"/>
          <w:szCs w:val="24"/>
        </w:rPr>
        <w:t xml:space="preserve"> </w:t>
      </w:r>
      <w:r w:rsidR="00396DF1" w:rsidRPr="004B3EB9">
        <w:rPr>
          <w:rFonts w:ascii="Times New Roman" w:hAnsi="Times New Roman"/>
          <w:sz w:val="24"/>
          <w:szCs w:val="24"/>
        </w:rPr>
        <w:t>düzeyinin yükselmesi, kandaki laktat dehidrojenaz düzeyinin yükselmesi, kanda alkalin</w:t>
      </w:r>
      <w:r w:rsidRPr="004B3EB9">
        <w:rPr>
          <w:rFonts w:ascii="Times New Roman" w:hAnsi="Times New Roman"/>
          <w:sz w:val="24"/>
          <w:szCs w:val="24"/>
        </w:rPr>
        <w:t xml:space="preserve"> </w:t>
      </w:r>
      <w:r w:rsidR="00396DF1" w:rsidRPr="004B3EB9">
        <w:rPr>
          <w:rFonts w:ascii="Times New Roman" w:hAnsi="Times New Roman"/>
          <w:sz w:val="24"/>
          <w:szCs w:val="24"/>
        </w:rPr>
        <w:t>fosfataz düzeyinin yükselmesi</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A96E10">
        <w:rPr>
          <w:rFonts w:ascii="Times New Roman" w:hAnsi="Times New Roman"/>
          <w:sz w:val="24"/>
          <w:szCs w:val="24"/>
        </w:rPr>
        <w:tab/>
      </w:r>
      <w:r w:rsidRPr="004B3EB9">
        <w:rPr>
          <w:rFonts w:ascii="Times New Roman" w:hAnsi="Times New Roman"/>
          <w:sz w:val="24"/>
          <w:szCs w:val="24"/>
        </w:rPr>
        <w:t>Kanda amilaz düzeyinin yükselmesi</w:t>
      </w:r>
    </w:p>
    <w:p w:rsidR="00A96E10" w:rsidRDefault="00A96E10" w:rsidP="00C86B5D">
      <w:pPr>
        <w:spacing w:after="0"/>
        <w:jc w:val="both"/>
        <w:rPr>
          <w:rFonts w:ascii="Times New Roman" w:hAnsi="Times New Roman"/>
          <w:sz w:val="24"/>
          <w:szCs w:val="24"/>
        </w:rPr>
      </w:pPr>
      <w:r>
        <w:rPr>
          <w:rFonts w:ascii="Times New Roman" w:hAnsi="Times New Roman"/>
          <w:sz w:val="24"/>
          <w:szCs w:val="24"/>
        </w:rPr>
        <w:t xml:space="preserve"> </w:t>
      </w:r>
    </w:p>
    <w:p w:rsidR="00F3186B" w:rsidRPr="004B3EB9" w:rsidRDefault="009E236D" w:rsidP="00C86B5D">
      <w:pPr>
        <w:spacing w:after="0"/>
        <w:jc w:val="both"/>
        <w:rPr>
          <w:rFonts w:ascii="Times New Roman" w:hAnsi="Times New Roman"/>
          <w:sz w:val="24"/>
          <w:szCs w:val="24"/>
        </w:rPr>
      </w:pPr>
      <w:r w:rsidRPr="004B3EB9">
        <w:rPr>
          <w:rFonts w:ascii="Times New Roman" w:hAnsi="Times New Roman"/>
          <w:sz w:val="24"/>
          <w:szCs w:val="24"/>
        </w:rPr>
        <w:t>İ</w:t>
      </w:r>
      <w:r w:rsidR="00A34649" w:rsidRPr="004B3EB9">
        <w:rPr>
          <w:rFonts w:ascii="Times New Roman" w:hAnsi="Times New Roman"/>
          <w:sz w:val="24"/>
          <w:szCs w:val="24"/>
        </w:rPr>
        <w:t xml:space="preserve">matinib </w:t>
      </w:r>
      <w:r w:rsidR="00396DF1" w:rsidRPr="004B3EB9">
        <w:rPr>
          <w:rFonts w:ascii="Times New Roman" w:hAnsi="Times New Roman"/>
          <w:sz w:val="24"/>
          <w:szCs w:val="24"/>
        </w:rPr>
        <w:t>ile yapılan ilave klinik çalışmalardan ve pazarlama so</w:t>
      </w:r>
      <w:r w:rsidR="00A34649" w:rsidRPr="004B3EB9">
        <w:rPr>
          <w:rFonts w:ascii="Times New Roman" w:hAnsi="Times New Roman"/>
          <w:sz w:val="24"/>
          <w:szCs w:val="24"/>
        </w:rPr>
        <w:t>nra</w:t>
      </w:r>
      <w:r w:rsidR="00396DF1" w:rsidRPr="004B3EB9">
        <w:rPr>
          <w:rFonts w:ascii="Times New Roman" w:hAnsi="Times New Roman"/>
          <w:sz w:val="24"/>
          <w:szCs w:val="24"/>
        </w:rPr>
        <w:t>sı deneyimden aşağıdaki reaksiyon türleri bildirilmiştir. Bunlar aras</w:t>
      </w:r>
      <w:r w:rsidR="00A34649" w:rsidRPr="004B3EB9">
        <w:rPr>
          <w:rFonts w:ascii="Times New Roman" w:hAnsi="Times New Roman"/>
          <w:sz w:val="24"/>
          <w:szCs w:val="24"/>
        </w:rPr>
        <w:t>ın</w:t>
      </w:r>
      <w:r w:rsidR="00396DF1" w:rsidRPr="004B3EB9">
        <w:rPr>
          <w:rFonts w:ascii="Times New Roman" w:hAnsi="Times New Roman"/>
          <w:sz w:val="24"/>
          <w:szCs w:val="24"/>
        </w:rPr>
        <w:t>da, genişletilmiş erişim programlar</w:t>
      </w:r>
      <w:r w:rsidR="00A34649" w:rsidRPr="004B3EB9">
        <w:rPr>
          <w:rFonts w:ascii="Times New Roman" w:hAnsi="Times New Roman"/>
          <w:sz w:val="24"/>
          <w:szCs w:val="24"/>
        </w:rPr>
        <w:t>ın</w:t>
      </w:r>
      <w:r w:rsidR="00396DF1" w:rsidRPr="004B3EB9">
        <w:rPr>
          <w:rFonts w:ascii="Times New Roman" w:hAnsi="Times New Roman"/>
          <w:sz w:val="24"/>
          <w:szCs w:val="24"/>
        </w:rPr>
        <w:t>dan ve daha küçük veya devam etmekte olan klinik çalışmalardan bildirilen ciddi istenmeyen olay</w:t>
      </w:r>
      <w:r w:rsidR="00791617" w:rsidRPr="004B3EB9">
        <w:rPr>
          <w:rFonts w:ascii="Times New Roman" w:hAnsi="Times New Roman"/>
          <w:sz w:val="24"/>
          <w:szCs w:val="24"/>
        </w:rPr>
        <w:t>ların</w:t>
      </w:r>
      <w:r w:rsidR="00396DF1" w:rsidRPr="004B3EB9">
        <w:rPr>
          <w:rFonts w:ascii="Times New Roman" w:hAnsi="Times New Roman"/>
          <w:sz w:val="24"/>
          <w:szCs w:val="24"/>
        </w:rPr>
        <w:t xml:space="preserve"> yanı sıra kendiliğinden bildirilen vaka raporları da yer almaktadır. Bu </w:t>
      </w:r>
      <w:r w:rsidR="00791617" w:rsidRPr="004B3EB9">
        <w:rPr>
          <w:rFonts w:ascii="Times New Roman" w:hAnsi="Times New Roman"/>
          <w:sz w:val="24"/>
          <w:szCs w:val="24"/>
        </w:rPr>
        <w:t>reaksiyonları</w:t>
      </w:r>
      <w:r w:rsidR="00396DF1" w:rsidRPr="004B3EB9">
        <w:rPr>
          <w:rFonts w:ascii="Times New Roman" w:hAnsi="Times New Roman"/>
          <w:sz w:val="24"/>
          <w:szCs w:val="24"/>
        </w:rPr>
        <w:t xml:space="preserve">n büyüklüğü bilinmeyen bir </w:t>
      </w:r>
      <w:proofErr w:type="gramStart"/>
      <w:r w:rsidR="00396DF1" w:rsidRPr="004B3EB9">
        <w:rPr>
          <w:rFonts w:ascii="Times New Roman" w:hAnsi="Times New Roman"/>
          <w:sz w:val="24"/>
          <w:szCs w:val="24"/>
        </w:rPr>
        <w:t>popülasyondan</w:t>
      </w:r>
      <w:proofErr w:type="gramEnd"/>
      <w:r w:rsidR="00396DF1" w:rsidRPr="004B3EB9">
        <w:rPr>
          <w:rFonts w:ascii="Times New Roman" w:hAnsi="Times New Roman"/>
          <w:sz w:val="24"/>
          <w:szCs w:val="24"/>
        </w:rPr>
        <w:t xml:space="preserve"> bildirilmesi nedeniyle, sıklıklarının güvenilir bir biçimde belirlenmesi veya imatinibe maruz kalma ile nedensel bir ilişkinin kesinleştirilmesi her zaman mümkün olmamaktadır.</w:t>
      </w:r>
    </w:p>
    <w:p w:rsidR="00F36470" w:rsidRPr="004B3EB9" w:rsidRDefault="00F36470" w:rsidP="00C86B5D">
      <w:pPr>
        <w:tabs>
          <w:tab w:val="left" w:pos="1985"/>
        </w:tabs>
        <w:spacing w:after="0"/>
        <w:ind w:left="1985" w:hanging="1985"/>
        <w:jc w:val="both"/>
        <w:rPr>
          <w:rFonts w:ascii="Times New Roman" w:hAnsi="Times New Roman"/>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Pazarlama sonrası raporlarda bildirilen istenmeyen reaksiyonlar</w:t>
      </w:r>
    </w:p>
    <w:p w:rsidR="001D5D19" w:rsidRDefault="001D5D19" w:rsidP="00C86B5D">
      <w:pPr>
        <w:tabs>
          <w:tab w:val="left" w:pos="1985"/>
        </w:tabs>
        <w:spacing w:after="0"/>
        <w:ind w:left="1985" w:hanging="1985"/>
        <w:jc w:val="both"/>
        <w:rPr>
          <w:rFonts w:ascii="Times New Roman" w:hAnsi="Times New Roman"/>
          <w:b/>
          <w:bCs/>
          <w:sz w:val="24"/>
          <w:szCs w:val="24"/>
        </w:rPr>
      </w:pPr>
      <w:r>
        <w:rPr>
          <w:rFonts w:ascii="Times New Roman" w:hAnsi="Times New Roman"/>
          <w:b/>
          <w:bCs/>
          <w:sz w:val="24"/>
          <w:szCs w:val="24"/>
        </w:rPr>
        <w:t xml:space="preserve">(Kist ve polipler de </w:t>
      </w:r>
      <w:proofErr w:type="gramStart"/>
      <w:r>
        <w:rPr>
          <w:rFonts w:ascii="Times New Roman" w:hAnsi="Times New Roman"/>
          <w:b/>
          <w:bCs/>
          <w:sz w:val="24"/>
          <w:szCs w:val="24"/>
        </w:rPr>
        <w:t>dahil</w:t>
      </w:r>
      <w:proofErr w:type="gramEnd"/>
      <w:r>
        <w:rPr>
          <w:rFonts w:ascii="Times New Roman" w:hAnsi="Times New Roman"/>
          <w:b/>
          <w:bCs/>
          <w:sz w:val="24"/>
          <w:szCs w:val="24"/>
        </w:rPr>
        <w:t xml:space="preserve"> olmak üzere) iyi huylu ve kötü huylu neoplazmalar</w:t>
      </w:r>
    </w:p>
    <w:p w:rsidR="001D5D19" w:rsidRDefault="001D5D19" w:rsidP="00C86B5D">
      <w:pPr>
        <w:tabs>
          <w:tab w:val="left" w:pos="1985"/>
        </w:tabs>
        <w:spacing w:after="0"/>
        <w:ind w:left="1985" w:hanging="1985"/>
        <w:jc w:val="both"/>
        <w:rPr>
          <w:rFonts w:ascii="Times New Roman" w:hAnsi="Times New Roman"/>
          <w:bCs/>
          <w:sz w:val="24"/>
          <w:szCs w:val="24"/>
        </w:rPr>
      </w:pPr>
      <w:r>
        <w:rPr>
          <w:rFonts w:ascii="Times New Roman" w:hAnsi="Times New Roman"/>
          <w:bCs/>
          <w:sz w:val="24"/>
          <w:szCs w:val="24"/>
        </w:rPr>
        <w:t>Seyrek:</w:t>
      </w:r>
      <w:r>
        <w:rPr>
          <w:rFonts w:ascii="Times New Roman" w:hAnsi="Times New Roman"/>
          <w:bCs/>
          <w:sz w:val="24"/>
          <w:szCs w:val="24"/>
        </w:rPr>
        <w:tab/>
        <w:t xml:space="preserve">Tümör lizis </w:t>
      </w:r>
      <w:proofErr w:type="gramStart"/>
      <w:r>
        <w:rPr>
          <w:rFonts w:ascii="Times New Roman" w:hAnsi="Times New Roman"/>
          <w:bCs/>
          <w:sz w:val="24"/>
          <w:szCs w:val="24"/>
        </w:rPr>
        <w:t>sendromu</w:t>
      </w:r>
      <w:proofErr w:type="gramEnd"/>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Sinir sistemi hastalıkları</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Serebral ödem</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Göz hastalıkları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Vitröz kanama</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Kardiyak hastalıklar</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Perikardit, kalp tamponadı</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Vasküler hastalıklar</w:t>
      </w:r>
    </w:p>
    <w:p w:rsidR="00A34649"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 xml:space="preserve">Tromboz/emboli </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seyrek: </w:t>
      </w:r>
      <w:r w:rsidR="001D5D19">
        <w:rPr>
          <w:rFonts w:ascii="Times New Roman" w:hAnsi="Times New Roman"/>
          <w:sz w:val="24"/>
          <w:szCs w:val="24"/>
        </w:rPr>
        <w:tab/>
      </w:r>
      <w:r w:rsidRPr="004B3EB9">
        <w:rPr>
          <w:rFonts w:ascii="Times New Roman" w:hAnsi="Times New Roman"/>
          <w:sz w:val="24"/>
          <w:szCs w:val="24"/>
        </w:rPr>
        <w:t>Anaf</w:t>
      </w:r>
      <w:r w:rsidR="00A34649" w:rsidRPr="004B3EB9">
        <w:rPr>
          <w:rFonts w:ascii="Times New Roman" w:hAnsi="Times New Roman"/>
          <w:sz w:val="24"/>
          <w:szCs w:val="24"/>
        </w:rPr>
        <w:t>i</w:t>
      </w:r>
      <w:r w:rsidRPr="004B3EB9">
        <w:rPr>
          <w:rFonts w:ascii="Times New Roman" w:hAnsi="Times New Roman"/>
          <w:sz w:val="24"/>
          <w:szCs w:val="24"/>
        </w:rPr>
        <w:t>laktik şok</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Solunum, göğüs bozuklukları ve mediastinal hastalıklar</w:t>
      </w:r>
    </w:p>
    <w:p w:rsidR="00396DF1" w:rsidRPr="004B3EB9" w:rsidRDefault="004F3870"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Akut respiratuvar yetmezlik, interstisyal akciğer hastalığı</w:t>
      </w:r>
    </w:p>
    <w:p w:rsidR="0006573B" w:rsidRDefault="0006573B"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Gastrointestinal hastalıklar</w:t>
      </w:r>
    </w:p>
    <w:p w:rsidR="00A34649" w:rsidRPr="004B3EB9" w:rsidRDefault="004F3870" w:rsidP="00C86B5D">
      <w:pPr>
        <w:tabs>
          <w:tab w:val="left" w:pos="1985"/>
        </w:tabs>
        <w:spacing w:after="0"/>
        <w:ind w:left="1985" w:hanging="1985"/>
        <w:jc w:val="both"/>
        <w:rPr>
          <w:rFonts w:ascii="Times New Roman" w:hAnsi="Times New Roman"/>
          <w:sz w:val="24"/>
          <w:szCs w:val="24"/>
          <w:vertAlign w:val="superscript"/>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İleus/intestinal obstrüksiyon, tümör kanaması/tümör nekrozu, gastrointestinal perforasyon</w:t>
      </w:r>
      <w:r w:rsidR="00396DF1" w:rsidRPr="004B3EB9">
        <w:rPr>
          <w:rFonts w:ascii="Times New Roman" w:hAnsi="Times New Roman"/>
          <w:sz w:val="24"/>
          <w:szCs w:val="24"/>
          <w:vertAlign w:val="superscript"/>
        </w:rPr>
        <w:t xml:space="preserve"> </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Divertikülit</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Deri ve deri altı doku hastalıkları</w:t>
      </w:r>
    </w:p>
    <w:p w:rsidR="001D5D19" w:rsidRDefault="001D5D19" w:rsidP="00C86B5D">
      <w:pPr>
        <w:tabs>
          <w:tab w:val="left" w:pos="1985"/>
        </w:tabs>
        <w:spacing w:after="0"/>
        <w:ind w:left="1985" w:hanging="1985"/>
        <w:jc w:val="both"/>
        <w:rPr>
          <w:rFonts w:ascii="Times New Roman" w:hAnsi="Times New Roman"/>
          <w:sz w:val="24"/>
          <w:szCs w:val="24"/>
        </w:rPr>
      </w:pPr>
      <w:r>
        <w:rPr>
          <w:rFonts w:ascii="Times New Roman" w:hAnsi="Times New Roman"/>
          <w:sz w:val="24"/>
          <w:szCs w:val="24"/>
        </w:rPr>
        <w:t>Yaygın olmayan:</w:t>
      </w:r>
      <w:r>
        <w:rPr>
          <w:rFonts w:ascii="Times New Roman" w:hAnsi="Times New Roman"/>
          <w:sz w:val="24"/>
          <w:szCs w:val="24"/>
        </w:rPr>
        <w:tab/>
        <w:t xml:space="preserve">Palmar-plantar eritrodisestezi </w:t>
      </w:r>
      <w:proofErr w:type="gramStart"/>
      <w:r>
        <w:rPr>
          <w:rFonts w:ascii="Times New Roman" w:hAnsi="Times New Roman"/>
          <w:sz w:val="24"/>
          <w:szCs w:val="24"/>
        </w:rPr>
        <w:t>sendromu</w:t>
      </w:r>
      <w:proofErr w:type="gramEnd"/>
      <w:r>
        <w:rPr>
          <w:rFonts w:ascii="Times New Roman" w:hAnsi="Times New Roman"/>
          <w:sz w:val="24"/>
          <w:szCs w:val="24"/>
        </w:rPr>
        <w:t xml:space="preserve"> (el-ayak sendromu)</w:t>
      </w:r>
    </w:p>
    <w:p w:rsidR="00A34649"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 xml:space="preserve">Liken keratoz, liken planuz </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seyrek: </w:t>
      </w:r>
      <w:r w:rsidR="001D5D19">
        <w:rPr>
          <w:rFonts w:ascii="Times New Roman" w:hAnsi="Times New Roman"/>
          <w:sz w:val="24"/>
          <w:szCs w:val="24"/>
        </w:rPr>
        <w:tab/>
      </w:r>
      <w:r w:rsidRPr="004B3EB9">
        <w:rPr>
          <w:rFonts w:ascii="Times New Roman" w:hAnsi="Times New Roman"/>
          <w:sz w:val="24"/>
          <w:szCs w:val="24"/>
        </w:rPr>
        <w:t>Toksik epidermal nekroliz</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Kas-iskelet bozukluklar, bağ doku ve kemik hastalıkları</w:t>
      </w:r>
    </w:p>
    <w:p w:rsidR="00396DF1"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904199">
        <w:rPr>
          <w:rFonts w:ascii="Times New Roman" w:hAnsi="Times New Roman"/>
          <w:sz w:val="24"/>
          <w:szCs w:val="24"/>
        </w:rPr>
        <w:tab/>
      </w:r>
      <w:r w:rsidRPr="004B3EB9">
        <w:rPr>
          <w:rFonts w:ascii="Times New Roman" w:hAnsi="Times New Roman"/>
          <w:sz w:val="24"/>
          <w:szCs w:val="24"/>
        </w:rPr>
        <w:t>Avasküler nekroz/kalça osteonekrozu, rabdomiyoliz/miyopati</w:t>
      </w:r>
    </w:p>
    <w:p w:rsidR="00904199" w:rsidRPr="004B3EB9" w:rsidRDefault="00904199" w:rsidP="00C86B5D">
      <w:pPr>
        <w:tabs>
          <w:tab w:val="left" w:pos="1985"/>
        </w:tabs>
        <w:spacing w:after="0"/>
        <w:ind w:left="1985" w:hanging="1985"/>
        <w:jc w:val="both"/>
        <w:rPr>
          <w:rFonts w:ascii="Times New Roman" w:hAnsi="Times New Roman"/>
          <w:sz w:val="24"/>
          <w:szCs w:val="24"/>
        </w:rPr>
      </w:pPr>
      <w:r>
        <w:rPr>
          <w:rFonts w:ascii="Times New Roman" w:hAnsi="Times New Roman"/>
          <w:sz w:val="24"/>
          <w:szCs w:val="24"/>
        </w:rPr>
        <w:t>Bilinmeyen:</w:t>
      </w:r>
      <w:r>
        <w:rPr>
          <w:rFonts w:ascii="Times New Roman" w:hAnsi="Times New Roman"/>
          <w:sz w:val="24"/>
          <w:szCs w:val="24"/>
        </w:rPr>
        <w:tab/>
        <w:t>Çocuklarda büyüme geriliği</w:t>
      </w:r>
    </w:p>
    <w:p w:rsidR="005739A4" w:rsidRDefault="005739A4" w:rsidP="00C86B5D">
      <w:pPr>
        <w:tabs>
          <w:tab w:val="left" w:pos="1985"/>
        </w:tabs>
        <w:spacing w:after="0"/>
        <w:ind w:left="1985" w:hanging="1985"/>
        <w:jc w:val="both"/>
        <w:rPr>
          <w:rFonts w:ascii="Times New Roman" w:hAnsi="Times New Roman"/>
          <w:b/>
          <w:bCs/>
          <w:sz w:val="24"/>
          <w:szCs w:val="24"/>
        </w:rPr>
      </w:pP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Üreme sistemi hastalıkları:</w:t>
      </w:r>
    </w:p>
    <w:p w:rsidR="00396DF1" w:rsidRPr="004B3EB9" w:rsidRDefault="00396DF1" w:rsidP="00C86B5D">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seyrek: </w:t>
      </w:r>
      <w:r w:rsidR="00904199">
        <w:rPr>
          <w:rFonts w:ascii="Times New Roman" w:hAnsi="Times New Roman"/>
          <w:sz w:val="24"/>
          <w:szCs w:val="24"/>
        </w:rPr>
        <w:tab/>
      </w:r>
      <w:r w:rsidRPr="004B3EB9">
        <w:rPr>
          <w:rFonts w:ascii="Times New Roman" w:hAnsi="Times New Roman"/>
          <w:sz w:val="24"/>
          <w:szCs w:val="24"/>
        </w:rPr>
        <w:t>Hemo</w:t>
      </w:r>
      <w:r w:rsidR="00E31771" w:rsidRPr="004B3EB9">
        <w:rPr>
          <w:rFonts w:ascii="Times New Roman" w:hAnsi="Times New Roman"/>
          <w:sz w:val="24"/>
          <w:szCs w:val="24"/>
        </w:rPr>
        <w:t>rajik korpus luteum, hemorajik o</w:t>
      </w:r>
      <w:r w:rsidRPr="004B3EB9">
        <w:rPr>
          <w:rFonts w:ascii="Times New Roman" w:hAnsi="Times New Roman"/>
          <w:sz w:val="24"/>
          <w:szCs w:val="24"/>
        </w:rPr>
        <w:t>ver kisti</w:t>
      </w:r>
    </w:p>
    <w:p w:rsidR="00F36470" w:rsidRPr="004B3EB9" w:rsidRDefault="00904199" w:rsidP="00C86B5D">
      <w:pPr>
        <w:spacing w:after="0"/>
        <w:jc w:val="both"/>
        <w:rPr>
          <w:rFonts w:ascii="Times New Roman" w:hAnsi="Times New Roman"/>
          <w:sz w:val="24"/>
          <w:szCs w:val="24"/>
        </w:rPr>
      </w:pPr>
      <w:r>
        <w:rPr>
          <w:rFonts w:ascii="Times New Roman" w:hAnsi="Times New Roman"/>
          <w:sz w:val="24"/>
          <w:szCs w:val="24"/>
        </w:rPr>
        <w:t xml:space="preserve"> </w:t>
      </w:r>
    </w:p>
    <w:p w:rsidR="00904199" w:rsidRDefault="00904199" w:rsidP="00C86B5D">
      <w:pPr>
        <w:spacing w:after="0"/>
        <w:jc w:val="both"/>
        <w:rPr>
          <w:rFonts w:ascii="Times New Roman" w:hAnsi="Times New Roman"/>
          <w:b/>
          <w:bCs/>
          <w:sz w:val="24"/>
          <w:szCs w:val="24"/>
        </w:rPr>
      </w:pPr>
      <w:r>
        <w:rPr>
          <w:rFonts w:ascii="Times New Roman" w:hAnsi="Times New Roman"/>
          <w:b/>
          <w:bCs/>
          <w:sz w:val="24"/>
          <w:szCs w:val="24"/>
        </w:rPr>
        <w:t>Seçilmiş advers ilaç reaksiyonlarıyla ilgili açıklamalar</w:t>
      </w:r>
    </w:p>
    <w:p w:rsidR="00904199" w:rsidRDefault="00904199" w:rsidP="00C86B5D">
      <w:pPr>
        <w:spacing w:after="0"/>
        <w:jc w:val="both"/>
        <w:rPr>
          <w:rFonts w:ascii="Times New Roman" w:hAnsi="Times New Roman"/>
          <w:bCs/>
          <w:sz w:val="24"/>
          <w:szCs w:val="24"/>
        </w:rPr>
      </w:pPr>
      <w:r>
        <w:rPr>
          <w:rFonts w:ascii="Times New Roman" w:hAnsi="Times New Roman"/>
          <w:bCs/>
          <w:sz w:val="24"/>
          <w:szCs w:val="24"/>
        </w:rPr>
        <w:t>Miyelosüpresyon:</w:t>
      </w:r>
    </w:p>
    <w:p w:rsidR="00904199" w:rsidRDefault="00904199" w:rsidP="00C86B5D">
      <w:pPr>
        <w:spacing w:after="0"/>
        <w:jc w:val="both"/>
        <w:rPr>
          <w:rFonts w:ascii="Times New Roman" w:hAnsi="Times New Roman"/>
          <w:bCs/>
          <w:sz w:val="24"/>
          <w:szCs w:val="24"/>
        </w:rPr>
      </w:pPr>
      <w:r>
        <w:rPr>
          <w:rFonts w:ascii="Times New Roman" w:hAnsi="Times New Roman"/>
          <w:bCs/>
          <w:sz w:val="24"/>
          <w:szCs w:val="24"/>
        </w:rPr>
        <w:t>Miyelosüpresyon imatinible tedavi edilmiş kanser hastalarında çok yaygındır. Miyelosüpresyon, trombositopeni, nötropeni ve anemi en sık bildirilen 3. ve 4. derece laboratuar anormallikleridir. Genel olarak KML hastalarında imatinible yaşanan miyelosüpresyon genellikle geri dönüşümlüdür ve hastaların büyük kısmında doz kesintisine ya da doz azaltımına neden olmamıştır. Birkaç hastada ilacın bırakılması gerekmiştir. Aynı zamanda pansitopeni, lenfopeni ve kemik iliği depresyonu gibi başka olaylar da bildirilmiştir.</w:t>
      </w:r>
    </w:p>
    <w:p w:rsidR="00904199" w:rsidRDefault="00904199" w:rsidP="00C86B5D">
      <w:pPr>
        <w:spacing w:after="0"/>
        <w:jc w:val="both"/>
        <w:rPr>
          <w:rFonts w:ascii="Times New Roman" w:hAnsi="Times New Roman"/>
          <w:bCs/>
          <w:sz w:val="24"/>
          <w:szCs w:val="24"/>
        </w:rPr>
      </w:pPr>
      <w:r>
        <w:rPr>
          <w:rFonts w:ascii="Times New Roman" w:hAnsi="Times New Roman"/>
          <w:bCs/>
          <w:sz w:val="24"/>
          <w:szCs w:val="24"/>
        </w:rPr>
        <w:t>Hematolojik supresyon yüksek dozlarda en fazladır ve KML hastalığının evresiyle bağlantılı gibi görünmektedir; 3. ya da 4. derece nötropeni ve trombositopeni, KF KML’de yeni tanısı konmuş hastalarla karşılaştırıldığında (sırasıyla %</w:t>
      </w:r>
      <w:proofErr w:type="gramStart"/>
      <w:r>
        <w:rPr>
          <w:rFonts w:ascii="Times New Roman" w:hAnsi="Times New Roman"/>
          <w:bCs/>
          <w:sz w:val="24"/>
          <w:szCs w:val="24"/>
        </w:rPr>
        <w:t>16.7</w:t>
      </w:r>
      <w:proofErr w:type="gramEnd"/>
      <w:r>
        <w:rPr>
          <w:rFonts w:ascii="Times New Roman" w:hAnsi="Times New Roman"/>
          <w:bCs/>
          <w:sz w:val="24"/>
          <w:szCs w:val="24"/>
        </w:rPr>
        <w:t xml:space="preserve"> ve %8.9) blast ve akselere fazda (sırasıyla %44 ve %63) 4 ila 6 kat daha yüksektir. Bu olaylar dozun azaltılması ya da İMATİS tedavisine ara verilmesi yoluyla tedavi edilebilir; fakat nadiren tedavinin bırakılmasını gerektirir. Hematolojik toksisitelerin insidansı, Ph+ lösemileri olan hastalarla karşılaştı</w:t>
      </w:r>
      <w:r w:rsidR="00E324A2">
        <w:rPr>
          <w:rFonts w:ascii="Times New Roman" w:hAnsi="Times New Roman"/>
          <w:bCs/>
          <w:sz w:val="24"/>
          <w:szCs w:val="24"/>
        </w:rPr>
        <w:t>rıldığında solid tümörleri olan hastalarda daha düşüktür; 3/4. derece nötropeni ve trombositopeni oranı sırasıyla yaklaşık %10 ve %1’dir.</w:t>
      </w:r>
    </w:p>
    <w:p w:rsidR="00245D6A" w:rsidRDefault="00245D6A" w:rsidP="00C86B5D">
      <w:pPr>
        <w:spacing w:after="0"/>
        <w:jc w:val="both"/>
        <w:rPr>
          <w:rFonts w:ascii="Times New Roman" w:hAnsi="Times New Roman"/>
          <w:bCs/>
          <w:sz w:val="24"/>
          <w:szCs w:val="24"/>
        </w:rPr>
      </w:pPr>
    </w:p>
    <w:p w:rsidR="00245D6A" w:rsidRDefault="00245D6A" w:rsidP="00C86B5D">
      <w:pPr>
        <w:spacing w:after="0"/>
        <w:jc w:val="both"/>
        <w:rPr>
          <w:rFonts w:ascii="Times New Roman" w:hAnsi="Times New Roman"/>
          <w:bCs/>
          <w:sz w:val="24"/>
          <w:szCs w:val="24"/>
        </w:rPr>
      </w:pPr>
      <w:r>
        <w:rPr>
          <w:rFonts w:ascii="Times New Roman" w:hAnsi="Times New Roman"/>
          <w:bCs/>
          <w:sz w:val="24"/>
          <w:szCs w:val="24"/>
        </w:rPr>
        <w:t>Kanama:</w:t>
      </w:r>
    </w:p>
    <w:p w:rsidR="00245D6A" w:rsidRDefault="00245D6A" w:rsidP="00C86B5D">
      <w:pPr>
        <w:spacing w:after="0"/>
        <w:jc w:val="both"/>
        <w:rPr>
          <w:rFonts w:ascii="Times New Roman" w:hAnsi="Times New Roman"/>
          <w:bCs/>
          <w:sz w:val="24"/>
          <w:szCs w:val="24"/>
        </w:rPr>
      </w:pPr>
      <w:r>
        <w:rPr>
          <w:rFonts w:ascii="Times New Roman" w:hAnsi="Times New Roman"/>
          <w:bCs/>
          <w:sz w:val="24"/>
          <w:szCs w:val="24"/>
        </w:rPr>
        <w:t xml:space="preserve">SSS ve GI kanamalar, başlangıçta bozulmuş kemik iliği fonksiyonu olan KML hastalarında seyrek değildir. Kanamalar, lösemik hastalardan oluşan, akut hastalık durumuna sahip bir </w:t>
      </w:r>
      <w:proofErr w:type="gramStart"/>
      <w:r>
        <w:rPr>
          <w:rFonts w:ascii="Times New Roman" w:hAnsi="Times New Roman"/>
          <w:bCs/>
          <w:sz w:val="24"/>
          <w:szCs w:val="24"/>
        </w:rPr>
        <w:t>popülasyonda</w:t>
      </w:r>
      <w:proofErr w:type="gramEnd"/>
      <w:r>
        <w:rPr>
          <w:rFonts w:ascii="Times New Roman" w:hAnsi="Times New Roman"/>
          <w:bCs/>
          <w:sz w:val="24"/>
          <w:szCs w:val="24"/>
        </w:rPr>
        <w:t xml:space="preserve"> hastalık komplikasyonlarının iyi bilinen bir parçasıdır ve trombositopeniden ve daha seyrek olarak trombosit disfonksiyonundan kaynaklanabilir. Diğer yandan imatinible tedavi sırasında SSS ve GI kanamaları deneyimleyen tüm hastalar trombositopenik değildir.</w:t>
      </w:r>
    </w:p>
    <w:p w:rsidR="00245D6A" w:rsidRDefault="00245D6A" w:rsidP="00C86B5D">
      <w:pPr>
        <w:spacing w:after="0"/>
        <w:jc w:val="both"/>
        <w:rPr>
          <w:rFonts w:ascii="Times New Roman" w:hAnsi="Times New Roman"/>
          <w:bCs/>
          <w:sz w:val="24"/>
          <w:szCs w:val="24"/>
        </w:rPr>
      </w:pPr>
      <w:r>
        <w:rPr>
          <w:rFonts w:ascii="Times New Roman" w:hAnsi="Times New Roman"/>
          <w:bCs/>
          <w:sz w:val="24"/>
          <w:szCs w:val="24"/>
        </w:rPr>
        <w:t xml:space="preserve">Klinik açıdan anlamlı kanamanın en yaygın belirtisi GI kanamadır; en fazla ilerlemiş KML hastalarında meydana gelmektedir; bu gibi durumlarda kanama, </w:t>
      </w:r>
      <w:r w:rsidR="000A487F">
        <w:rPr>
          <w:rFonts w:ascii="Times New Roman" w:hAnsi="Times New Roman"/>
          <w:bCs/>
          <w:sz w:val="24"/>
          <w:szCs w:val="24"/>
        </w:rPr>
        <w:t>tümör hemorajisi/tümör nekrozundan kaynaklanan tümör kanaması nedeniyle altta yatan hastalığın bir parçası olarak meydana gelebilir. Birinci basamak KML durumunda gözlenmiş GI kanama sıklıkları genellikle en düşük düzeydedir.</w:t>
      </w:r>
    </w:p>
    <w:p w:rsidR="00786FCF" w:rsidRDefault="00786FCF" w:rsidP="00C86B5D">
      <w:pPr>
        <w:spacing w:after="0"/>
        <w:jc w:val="both"/>
        <w:rPr>
          <w:rFonts w:ascii="Times New Roman" w:hAnsi="Times New Roman"/>
          <w:bCs/>
          <w:sz w:val="24"/>
          <w:szCs w:val="24"/>
        </w:rPr>
      </w:pPr>
    </w:p>
    <w:p w:rsidR="00786FCF" w:rsidRDefault="00786FCF" w:rsidP="00C86B5D">
      <w:pPr>
        <w:spacing w:after="0"/>
        <w:jc w:val="both"/>
        <w:rPr>
          <w:rFonts w:ascii="Times New Roman" w:hAnsi="Times New Roman"/>
          <w:bCs/>
          <w:sz w:val="24"/>
          <w:szCs w:val="24"/>
        </w:rPr>
      </w:pPr>
      <w:r>
        <w:rPr>
          <w:rFonts w:ascii="Times New Roman" w:hAnsi="Times New Roman"/>
          <w:bCs/>
          <w:sz w:val="24"/>
          <w:szCs w:val="24"/>
        </w:rPr>
        <w:t>Ödem ve sıvı tutulumu:</w:t>
      </w:r>
    </w:p>
    <w:p w:rsidR="00786FCF" w:rsidRDefault="00786FCF" w:rsidP="00C86B5D">
      <w:pPr>
        <w:spacing w:after="0"/>
        <w:jc w:val="both"/>
        <w:rPr>
          <w:rFonts w:ascii="Times New Roman" w:hAnsi="Times New Roman"/>
          <w:bCs/>
          <w:sz w:val="24"/>
          <w:szCs w:val="24"/>
        </w:rPr>
      </w:pPr>
      <w:r>
        <w:rPr>
          <w:rFonts w:ascii="Times New Roman" w:hAnsi="Times New Roman"/>
          <w:bCs/>
          <w:sz w:val="24"/>
          <w:szCs w:val="24"/>
        </w:rPr>
        <w:t xml:space="preserve">Ödem imatinibin en yaygın toksisitesidir ve tüm endikasyonlarda hastaların %50’sinden fazlasında ortaya çıkmaktadır. Ödem dozla bağlantılıdır ve görünüşe göre ortaya çıkışı ve plazma düzeyleri arasında bir </w:t>
      </w:r>
      <w:proofErr w:type="gramStart"/>
      <w:r>
        <w:rPr>
          <w:rFonts w:ascii="Times New Roman" w:hAnsi="Times New Roman"/>
          <w:bCs/>
          <w:sz w:val="24"/>
          <w:szCs w:val="24"/>
        </w:rPr>
        <w:t>korelasyon</w:t>
      </w:r>
      <w:proofErr w:type="gramEnd"/>
      <w:r>
        <w:rPr>
          <w:rFonts w:ascii="Times New Roman" w:hAnsi="Times New Roman"/>
          <w:bCs/>
          <w:sz w:val="24"/>
          <w:szCs w:val="24"/>
        </w:rPr>
        <w:t xml:space="preserve"> bulunmaktadır. En yaygın belirtileri periorbital ödemdir ve alt uzuv ödemine göre biraz daha seyrektir. Genellikle </w:t>
      </w:r>
      <w:proofErr w:type="gramStart"/>
      <w:r>
        <w:rPr>
          <w:rFonts w:ascii="Times New Roman" w:hAnsi="Times New Roman"/>
          <w:bCs/>
          <w:sz w:val="24"/>
          <w:szCs w:val="24"/>
        </w:rPr>
        <w:t>spesifik</w:t>
      </w:r>
      <w:proofErr w:type="gramEnd"/>
      <w:r>
        <w:rPr>
          <w:rFonts w:ascii="Times New Roman" w:hAnsi="Times New Roman"/>
          <w:bCs/>
          <w:sz w:val="24"/>
          <w:szCs w:val="24"/>
        </w:rPr>
        <w:t xml:space="preserve"> bir tedavi gerekli değildir. Diğer sıvı tutulumu olayları daha seyrek olarak meydana gelir, fakat anatomik yerin konumu nedeniyle ciddi olabilir. En sık görülen sıvı tutulumu olayı plevral efüzyondur ve en fazla ilerlemiş KML’de gözlenmektedir.</w:t>
      </w:r>
      <w:r w:rsidR="000F1832">
        <w:rPr>
          <w:rFonts w:ascii="Times New Roman" w:hAnsi="Times New Roman"/>
          <w:bCs/>
          <w:sz w:val="24"/>
          <w:szCs w:val="24"/>
        </w:rPr>
        <w:t xml:space="preserve"> Kalp yetmezliğinin sıklığı ödem ve sıvı tutulumu </w:t>
      </w:r>
      <w:r w:rsidR="00B963FC">
        <w:rPr>
          <w:rFonts w:ascii="Times New Roman" w:hAnsi="Times New Roman"/>
          <w:bCs/>
          <w:sz w:val="24"/>
          <w:szCs w:val="24"/>
        </w:rPr>
        <w:t>olan hastalarda genellikle düşüktür. Diğer gruplara kıyasla ileri evre KML’de daha yüksek olduğu bulunmuştur. Bu durum ileri evre KML hastalarının daha kötü olan tıbbi durumu ile açıklanabilir. Aynı eğilim, ödem ve sıvı tutulumu olan hastalarda böbrek yetmezliği için de gözlenmiştir.</w:t>
      </w:r>
    </w:p>
    <w:p w:rsidR="00B963FC" w:rsidRDefault="00B963FC" w:rsidP="00C86B5D">
      <w:pPr>
        <w:spacing w:after="0"/>
        <w:jc w:val="both"/>
        <w:rPr>
          <w:rFonts w:ascii="Times New Roman" w:hAnsi="Times New Roman"/>
          <w:bCs/>
          <w:sz w:val="24"/>
          <w:szCs w:val="24"/>
        </w:rPr>
      </w:pPr>
      <w:r>
        <w:rPr>
          <w:rFonts w:ascii="Times New Roman" w:hAnsi="Times New Roman"/>
          <w:bCs/>
          <w:sz w:val="24"/>
          <w:szCs w:val="24"/>
        </w:rPr>
        <w:t>Yeni tanısı konmuş KML hastaları üzerinde yapılan bir klinik çalışmada, konjestif kalp yetmezliğine işaret eden olayların sıklığı imatinib grubunda %</w:t>
      </w:r>
      <w:proofErr w:type="gramStart"/>
      <w:r>
        <w:rPr>
          <w:rFonts w:ascii="Times New Roman" w:hAnsi="Times New Roman"/>
          <w:bCs/>
          <w:sz w:val="24"/>
          <w:szCs w:val="24"/>
        </w:rPr>
        <w:t>1.5</w:t>
      </w:r>
      <w:proofErr w:type="gramEnd"/>
      <w:r>
        <w:rPr>
          <w:rFonts w:ascii="Times New Roman" w:hAnsi="Times New Roman"/>
          <w:bCs/>
          <w:sz w:val="24"/>
          <w:szCs w:val="24"/>
        </w:rPr>
        <w:t xml:space="preserve"> ve IFN-alfa grubunda %1.1 olarak belirlenmiştir. Sıklık, transforme KML (akselere faz ya da blast fazı), daha yüksek yaş ya da başlangıç hemoglobin düzeyi 8 g/dL’den düşük olan hastalarda belirgin şekilde daha yüksek olmuştur. </w:t>
      </w:r>
    </w:p>
    <w:p w:rsidR="00E34386" w:rsidRDefault="00E34386" w:rsidP="00C86B5D">
      <w:pPr>
        <w:spacing w:after="0"/>
        <w:jc w:val="both"/>
        <w:rPr>
          <w:rFonts w:ascii="Times New Roman" w:hAnsi="Times New Roman"/>
          <w:bCs/>
          <w:sz w:val="24"/>
          <w:szCs w:val="24"/>
        </w:rPr>
      </w:pPr>
    </w:p>
    <w:p w:rsidR="00E34386" w:rsidRDefault="00E34386" w:rsidP="00C86B5D">
      <w:pPr>
        <w:spacing w:after="0"/>
        <w:jc w:val="both"/>
        <w:rPr>
          <w:rFonts w:ascii="Times New Roman" w:hAnsi="Times New Roman"/>
          <w:bCs/>
          <w:sz w:val="24"/>
          <w:szCs w:val="24"/>
        </w:rPr>
      </w:pPr>
      <w:r>
        <w:rPr>
          <w:rFonts w:ascii="Times New Roman" w:hAnsi="Times New Roman"/>
          <w:bCs/>
          <w:sz w:val="24"/>
          <w:szCs w:val="24"/>
        </w:rPr>
        <w:t>Deri döküntüleri ve şiddetli kutanöz advers reaksiyonlar:</w:t>
      </w:r>
    </w:p>
    <w:p w:rsidR="00E34386" w:rsidRDefault="00E34386" w:rsidP="00C86B5D">
      <w:pPr>
        <w:spacing w:after="0"/>
        <w:jc w:val="both"/>
        <w:rPr>
          <w:rFonts w:ascii="Times New Roman" w:hAnsi="Times New Roman"/>
          <w:bCs/>
          <w:sz w:val="24"/>
          <w:szCs w:val="24"/>
        </w:rPr>
      </w:pPr>
      <w:r>
        <w:rPr>
          <w:rFonts w:ascii="Times New Roman" w:hAnsi="Times New Roman"/>
          <w:bCs/>
          <w:sz w:val="24"/>
          <w:szCs w:val="24"/>
        </w:rPr>
        <w:t>Tedavi devam ettirilmesine rağmen azalabilen genel eritematöz, makulopapüler, pruritik deri döküntüsü bildirilmiştir. Bazı hastalarda eşlik eden deri döküntüsü olmaksızın prurit görülebilmektedir ve kimi zaman bir eksfolyatif bileşen bulunmaktadır. Tüm hastalarda olmasa da bazı hastalarda yeniden maruziyet deri döküntüsünün yeniden ortaya çıkmasıyla sonuçlanmıştır. Bu erüpsiyonlar genel olarak antihistaminlere ve topikal steroidlere yanıt vermektedir. Nadiren sistemik steroidler gerekli olmaktadır.</w:t>
      </w:r>
    </w:p>
    <w:p w:rsidR="00E34386" w:rsidRDefault="00E34386" w:rsidP="00C86B5D">
      <w:pPr>
        <w:spacing w:after="0"/>
        <w:jc w:val="both"/>
        <w:rPr>
          <w:rFonts w:ascii="Times New Roman" w:hAnsi="Times New Roman"/>
          <w:bCs/>
          <w:sz w:val="24"/>
          <w:szCs w:val="24"/>
        </w:rPr>
      </w:pPr>
      <w:r>
        <w:rPr>
          <w:rFonts w:ascii="Times New Roman" w:hAnsi="Times New Roman"/>
          <w:bCs/>
          <w:sz w:val="24"/>
          <w:szCs w:val="24"/>
        </w:rPr>
        <w:t xml:space="preserve">Tüm endikasyonlarda imatinible tedavi edilmiş hastaların üçte bire kadar olan kısmında deri döküntüleri gözlenmiştir. Bunlar genellikle pruritiktir ve büyük oranda ön kolda, gövdede ya da yüzde eritematöz, makulopapüler lezyonlar olarak ortaya çıkmaktadır. Deri biyopsileri, karışık bir hücresel infiltratla toksik ilaç reaksiyonunu ortaya çıkarmıştır. Deri döküntülerinin büyük kısmı hafif şiddette ve kendi kendini sınırlayıcı olsa da, daha şiddetli vakalar tedavinin kesilmesini ya da bırakılmasını gerektirebilir. </w:t>
      </w:r>
    </w:p>
    <w:p w:rsidR="00E34386" w:rsidRDefault="00E34386" w:rsidP="00C86B5D">
      <w:pPr>
        <w:spacing w:after="0"/>
        <w:jc w:val="both"/>
        <w:rPr>
          <w:rFonts w:ascii="Times New Roman" w:hAnsi="Times New Roman"/>
          <w:bCs/>
          <w:sz w:val="24"/>
          <w:szCs w:val="24"/>
        </w:rPr>
      </w:pPr>
    </w:p>
    <w:p w:rsidR="00E34386" w:rsidRDefault="0020575E" w:rsidP="00C86B5D">
      <w:pPr>
        <w:spacing w:after="0"/>
        <w:jc w:val="both"/>
        <w:rPr>
          <w:rFonts w:ascii="Times New Roman" w:hAnsi="Times New Roman"/>
          <w:bCs/>
          <w:sz w:val="24"/>
          <w:szCs w:val="24"/>
        </w:rPr>
      </w:pPr>
      <w:r>
        <w:rPr>
          <w:rFonts w:ascii="Times New Roman" w:hAnsi="Times New Roman"/>
          <w:bCs/>
          <w:sz w:val="24"/>
          <w:szCs w:val="24"/>
        </w:rPr>
        <w:t>Hepatotoksisite:</w:t>
      </w:r>
    </w:p>
    <w:p w:rsidR="0020575E" w:rsidRDefault="0020575E" w:rsidP="00C86B5D">
      <w:pPr>
        <w:spacing w:after="0"/>
        <w:jc w:val="both"/>
        <w:rPr>
          <w:rFonts w:ascii="Times New Roman" w:hAnsi="Times New Roman"/>
          <w:bCs/>
          <w:sz w:val="24"/>
          <w:szCs w:val="24"/>
        </w:rPr>
      </w:pPr>
      <w:r>
        <w:rPr>
          <w:rFonts w:ascii="Times New Roman" w:hAnsi="Times New Roman"/>
          <w:bCs/>
          <w:sz w:val="24"/>
          <w:szCs w:val="24"/>
        </w:rPr>
        <w:t>Nadiren şiddetli olan hepatotoksisite meydana gelebilir ve preklinik ve klinik olarak gözlenmiştir. LFT anormallikleri genellikle transaminazlarda hafif yükselmelerden oluşmaktadır; diğer yandan, hastaların küçük bir kısmında bilirubin düzeyleri de yükselmiştir. Ortaya çıkış süresi genellikle tedavinin ilk iki ayı içindedir; fakat tedavi başlatıldıktan sonraki 6. ila 12 aylar arası gibi geç dönemlerde de görülebilmektedir. Düzeyler, tedaviye 1 ila 4 hafta ara verildikten sonra normal değerlere dönmektedir.</w:t>
      </w:r>
    </w:p>
    <w:p w:rsidR="005739A4" w:rsidRDefault="005739A4" w:rsidP="00C86B5D">
      <w:pPr>
        <w:spacing w:after="0"/>
        <w:jc w:val="both"/>
        <w:rPr>
          <w:rFonts w:ascii="Times New Roman" w:hAnsi="Times New Roman"/>
          <w:bCs/>
          <w:sz w:val="24"/>
          <w:szCs w:val="24"/>
        </w:rPr>
      </w:pPr>
    </w:p>
    <w:p w:rsidR="0020575E" w:rsidRDefault="0020575E" w:rsidP="00C86B5D">
      <w:pPr>
        <w:spacing w:after="0"/>
        <w:jc w:val="both"/>
        <w:rPr>
          <w:rFonts w:ascii="Times New Roman" w:hAnsi="Times New Roman"/>
          <w:bCs/>
          <w:sz w:val="24"/>
          <w:szCs w:val="24"/>
        </w:rPr>
      </w:pPr>
      <w:r>
        <w:rPr>
          <w:rFonts w:ascii="Times New Roman" w:hAnsi="Times New Roman"/>
          <w:bCs/>
          <w:sz w:val="24"/>
          <w:szCs w:val="24"/>
        </w:rPr>
        <w:t>Hipofosfatemi:</w:t>
      </w:r>
    </w:p>
    <w:p w:rsidR="0020575E" w:rsidRDefault="0020575E" w:rsidP="00C86B5D">
      <w:pPr>
        <w:spacing w:after="0"/>
        <w:jc w:val="both"/>
        <w:rPr>
          <w:rFonts w:ascii="Times New Roman" w:hAnsi="Times New Roman"/>
          <w:bCs/>
          <w:sz w:val="24"/>
          <w:szCs w:val="24"/>
        </w:rPr>
      </w:pPr>
      <w:r>
        <w:rPr>
          <w:rFonts w:ascii="Times New Roman" w:hAnsi="Times New Roman"/>
          <w:bCs/>
          <w:sz w:val="24"/>
          <w:szCs w:val="24"/>
        </w:rPr>
        <w:t>Tüm endikasyonlarda nispeten yaygın bir şekilde düşük serum fosfatı ve hipofosfatemi (3/4. dereceye kadar) gözlenmiştir; diğer yandan, bu bulgunun kökeni ve klinik önemi henüz belirlenmemiştir. İmatinibin insan monositlerinin osteoklastlara farklılaşmasını inhibe ettiği gösterilmiştir. Bu azalmaya, bu hücrelerin resorptif kapasitelerindeki düşüş de eşlik etmiştir. İmatinib varlığında osteoklastlarda doza bağlı RANK-L azalması gözlenmiştir. Osteoklastik aktivitenin sürekli inhibisyonu, artmış PTH düzeyleriyle sonuçlanan düzenleyici yanıtın engellenmesine yardımcı olabilir. Preklinik bulguların klinik önemli henüz açık değildir ve kemik kırıkları gibi iskelete bağlı advers olaylarla ilişkili gösterilmemiştir.</w:t>
      </w:r>
    </w:p>
    <w:p w:rsidR="0020575E" w:rsidRDefault="00F834B9" w:rsidP="00C86B5D">
      <w:pPr>
        <w:spacing w:after="0"/>
        <w:jc w:val="both"/>
        <w:rPr>
          <w:rFonts w:ascii="Times New Roman" w:hAnsi="Times New Roman"/>
          <w:bCs/>
          <w:sz w:val="24"/>
          <w:szCs w:val="24"/>
        </w:rPr>
      </w:pPr>
      <w:r>
        <w:rPr>
          <w:rFonts w:ascii="Times New Roman" w:hAnsi="Times New Roman"/>
          <w:bCs/>
          <w:sz w:val="24"/>
          <w:szCs w:val="24"/>
        </w:rPr>
        <w:t>Klinik geliştirme programında serum fosfatı tüm çalışmalarda rutin bir şekilde ölçülmemiştir. Her ne kadar başta hipofosfateminin doza bağlı olabileceği düşünülmüş olsa da, yeni tanısı konmuş KML hastalarında güvenlilik sonlanım noktalarının doza bağlılığını araştırmak üzere tasarlanmış Faz III TOPS çalışmasından elde edilen 24 aylık yorumlanabilir bulgular, 400 mg ya da 800 mg alan hastaların %</w:t>
      </w:r>
      <w:proofErr w:type="gramStart"/>
      <w:r>
        <w:rPr>
          <w:rFonts w:ascii="Times New Roman" w:hAnsi="Times New Roman"/>
          <w:bCs/>
          <w:sz w:val="24"/>
          <w:szCs w:val="24"/>
        </w:rPr>
        <w:t>19.1’e</w:t>
      </w:r>
      <w:proofErr w:type="gramEnd"/>
      <w:r>
        <w:rPr>
          <w:rFonts w:ascii="Times New Roman" w:hAnsi="Times New Roman"/>
          <w:bCs/>
          <w:sz w:val="24"/>
          <w:szCs w:val="24"/>
        </w:rPr>
        <w:t xml:space="preserve"> karşılık %15.5’inde ve %5.1’e karşılık %0.9’undan 3/4. derece azalmış serum fosfatı ya da serum kalsiyumu gözlendiği gösterilmiştir.</w:t>
      </w:r>
    </w:p>
    <w:p w:rsidR="00F834B9" w:rsidRDefault="00F834B9" w:rsidP="00C86B5D">
      <w:pPr>
        <w:spacing w:after="0"/>
        <w:jc w:val="both"/>
        <w:rPr>
          <w:rFonts w:ascii="Times New Roman" w:hAnsi="Times New Roman"/>
          <w:bCs/>
          <w:sz w:val="24"/>
          <w:szCs w:val="24"/>
        </w:rPr>
      </w:pPr>
    </w:p>
    <w:p w:rsidR="00F834B9" w:rsidRDefault="00F834B9" w:rsidP="00C86B5D">
      <w:pPr>
        <w:spacing w:after="0"/>
        <w:jc w:val="both"/>
        <w:rPr>
          <w:rFonts w:ascii="Times New Roman" w:hAnsi="Times New Roman"/>
          <w:bCs/>
          <w:sz w:val="24"/>
          <w:szCs w:val="24"/>
        </w:rPr>
      </w:pPr>
      <w:r>
        <w:rPr>
          <w:rFonts w:ascii="Times New Roman" w:hAnsi="Times New Roman"/>
          <w:bCs/>
          <w:sz w:val="24"/>
          <w:szCs w:val="24"/>
        </w:rPr>
        <w:t>Gastrointestinal obstrüksiyon, perforasyon ya da ülserasyon:</w:t>
      </w:r>
    </w:p>
    <w:p w:rsidR="00F834B9" w:rsidRDefault="00E27239" w:rsidP="00C86B5D">
      <w:pPr>
        <w:spacing w:after="0"/>
        <w:jc w:val="both"/>
        <w:rPr>
          <w:rFonts w:ascii="Times New Roman" w:hAnsi="Times New Roman"/>
          <w:bCs/>
          <w:sz w:val="24"/>
          <w:szCs w:val="24"/>
        </w:rPr>
      </w:pPr>
      <w:r>
        <w:rPr>
          <w:rFonts w:ascii="Times New Roman" w:hAnsi="Times New Roman"/>
          <w:bCs/>
          <w:sz w:val="24"/>
          <w:szCs w:val="24"/>
        </w:rPr>
        <w:t xml:space="preserve">Şiddetli vakalarda imatinibin neden olduğu </w:t>
      </w:r>
      <w:proofErr w:type="gramStart"/>
      <w:r>
        <w:rPr>
          <w:rFonts w:ascii="Times New Roman" w:hAnsi="Times New Roman"/>
          <w:bCs/>
          <w:sz w:val="24"/>
          <w:szCs w:val="24"/>
        </w:rPr>
        <w:t>lokal</w:t>
      </w:r>
      <w:proofErr w:type="gramEnd"/>
      <w:r>
        <w:rPr>
          <w:rFonts w:ascii="Times New Roman" w:hAnsi="Times New Roman"/>
          <w:bCs/>
          <w:sz w:val="24"/>
          <w:szCs w:val="24"/>
        </w:rPr>
        <w:t xml:space="preserve"> tahrişi temsil edebilen GI ülserasyon, tüm endikasyonlarda hastaların küçük bir kısmında gözlenmiştir. </w:t>
      </w:r>
    </w:p>
    <w:p w:rsidR="005A47F0" w:rsidRDefault="005A47F0" w:rsidP="00C86B5D">
      <w:pPr>
        <w:spacing w:after="0"/>
        <w:jc w:val="both"/>
        <w:rPr>
          <w:rFonts w:ascii="Times New Roman" w:hAnsi="Times New Roman"/>
          <w:bCs/>
          <w:sz w:val="24"/>
          <w:szCs w:val="24"/>
        </w:rPr>
      </w:pPr>
    </w:p>
    <w:p w:rsidR="00E27239" w:rsidRDefault="00E27239" w:rsidP="00C86B5D">
      <w:pPr>
        <w:spacing w:after="0"/>
        <w:jc w:val="both"/>
        <w:rPr>
          <w:rFonts w:ascii="Times New Roman" w:hAnsi="Times New Roman"/>
          <w:bCs/>
          <w:sz w:val="24"/>
          <w:szCs w:val="24"/>
        </w:rPr>
      </w:pPr>
      <w:r>
        <w:rPr>
          <w:rFonts w:ascii="Times New Roman" w:hAnsi="Times New Roman"/>
          <w:bCs/>
          <w:sz w:val="24"/>
          <w:szCs w:val="24"/>
        </w:rPr>
        <w:t xml:space="preserve">Tümör lizis </w:t>
      </w:r>
      <w:proofErr w:type="gramStart"/>
      <w:r>
        <w:rPr>
          <w:rFonts w:ascii="Times New Roman" w:hAnsi="Times New Roman"/>
          <w:bCs/>
          <w:sz w:val="24"/>
          <w:szCs w:val="24"/>
        </w:rPr>
        <w:t>sendromu</w:t>
      </w:r>
      <w:proofErr w:type="gramEnd"/>
      <w:r>
        <w:rPr>
          <w:rFonts w:ascii="Times New Roman" w:hAnsi="Times New Roman"/>
          <w:bCs/>
          <w:sz w:val="24"/>
          <w:szCs w:val="24"/>
        </w:rPr>
        <w:t>:</w:t>
      </w:r>
    </w:p>
    <w:p w:rsidR="00E27239" w:rsidRDefault="00E27239" w:rsidP="00C86B5D">
      <w:pPr>
        <w:spacing w:after="0"/>
        <w:jc w:val="both"/>
        <w:rPr>
          <w:rFonts w:ascii="Times New Roman" w:hAnsi="Times New Roman"/>
          <w:bCs/>
          <w:sz w:val="24"/>
          <w:szCs w:val="24"/>
        </w:rPr>
      </w:pPr>
      <w:r>
        <w:rPr>
          <w:rFonts w:ascii="Times New Roman" w:hAnsi="Times New Roman"/>
          <w:bCs/>
          <w:sz w:val="24"/>
          <w:szCs w:val="24"/>
        </w:rPr>
        <w:t xml:space="preserve">Tümör lizis sendromu ve imatinib tedavisi arasında nedensel bir ilişki olası görünmektedir; diğer yandan bazı vakalarda eşzamanlı ilaçlar ve diğer bağımsız riskler karışıklık yaratmaktadır (bkz. Bölüm </w:t>
      </w:r>
      <w:proofErr w:type="gramStart"/>
      <w:r>
        <w:rPr>
          <w:rFonts w:ascii="Times New Roman" w:hAnsi="Times New Roman"/>
          <w:bCs/>
          <w:sz w:val="24"/>
          <w:szCs w:val="24"/>
        </w:rPr>
        <w:t>4.4</w:t>
      </w:r>
      <w:proofErr w:type="gramEnd"/>
      <w:r>
        <w:rPr>
          <w:rFonts w:ascii="Times New Roman" w:hAnsi="Times New Roman"/>
          <w:bCs/>
          <w:sz w:val="24"/>
          <w:szCs w:val="24"/>
        </w:rPr>
        <w:t>).</w:t>
      </w:r>
    </w:p>
    <w:p w:rsidR="00E27239" w:rsidRDefault="00E27239" w:rsidP="00C86B5D">
      <w:pPr>
        <w:spacing w:after="0"/>
        <w:jc w:val="both"/>
        <w:rPr>
          <w:rFonts w:ascii="Times New Roman" w:hAnsi="Times New Roman"/>
          <w:bCs/>
          <w:sz w:val="24"/>
          <w:szCs w:val="24"/>
        </w:rPr>
      </w:pPr>
    </w:p>
    <w:p w:rsidR="00E27239" w:rsidRDefault="00E27239" w:rsidP="00C86B5D">
      <w:pPr>
        <w:spacing w:after="0"/>
        <w:jc w:val="both"/>
        <w:rPr>
          <w:rFonts w:ascii="Times New Roman" w:hAnsi="Times New Roman"/>
          <w:bCs/>
          <w:sz w:val="24"/>
          <w:szCs w:val="24"/>
        </w:rPr>
      </w:pPr>
      <w:r>
        <w:rPr>
          <w:rFonts w:ascii="Times New Roman" w:hAnsi="Times New Roman"/>
          <w:bCs/>
          <w:sz w:val="24"/>
          <w:szCs w:val="24"/>
        </w:rPr>
        <w:t>Çocuklarda büyüme geriliği:</w:t>
      </w:r>
    </w:p>
    <w:p w:rsidR="00E27239" w:rsidRDefault="00650F9E" w:rsidP="00C86B5D">
      <w:pPr>
        <w:spacing w:after="0"/>
        <w:jc w:val="both"/>
        <w:rPr>
          <w:rFonts w:ascii="Times New Roman" w:hAnsi="Times New Roman"/>
          <w:bCs/>
          <w:sz w:val="24"/>
          <w:szCs w:val="24"/>
        </w:rPr>
      </w:pPr>
      <w:r>
        <w:rPr>
          <w:rFonts w:ascii="Times New Roman" w:hAnsi="Times New Roman"/>
          <w:bCs/>
          <w:sz w:val="24"/>
          <w:szCs w:val="24"/>
        </w:rPr>
        <w:t xml:space="preserve">İMATİS, özellikle pre-pubertal dönemde olanlar olmak üzere çocukların boylarını etkilemektedir. Çocuklarda büyüme geriliği ve İMATİS tedavisi arasındaki nedensel ilişki olasılık dışı bırakılamaz; diğer yandan KML’de bazı büyüme geriliği vakaları için sınırlı bilgi bulunmaktadır (bkz. Bölüm </w:t>
      </w:r>
      <w:proofErr w:type="gramStart"/>
      <w:r>
        <w:rPr>
          <w:rFonts w:ascii="Times New Roman" w:hAnsi="Times New Roman"/>
          <w:bCs/>
          <w:sz w:val="24"/>
          <w:szCs w:val="24"/>
        </w:rPr>
        <w:t>4.4</w:t>
      </w:r>
      <w:proofErr w:type="gramEnd"/>
      <w:r>
        <w:rPr>
          <w:rFonts w:ascii="Times New Roman" w:hAnsi="Times New Roman"/>
          <w:bCs/>
          <w:sz w:val="24"/>
          <w:szCs w:val="24"/>
        </w:rPr>
        <w:t>).</w:t>
      </w:r>
    </w:p>
    <w:p w:rsidR="00650F9E" w:rsidRDefault="00650F9E" w:rsidP="00C86B5D">
      <w:pPr>
        <w:spacing w:after="0"/>
        <w:jc w:val="both"/>
        <w:rPr>
          <w:rFonts w:ascii="Times New Roman" w:hAnsi="Times New Roman"/>
          <w:bCs/>
          <w:sz w:val="24"/>
          <w:szCs w:val="24"/>
        </w:rPr>
      </w:pPr>
    </w:p>
    <w:p w:rsidR="00650F9E" w:rsidRDefault="00650F9E" w:rsidP="00C86B5D">
      <w:pPr>
        <w:spacing w:after="0"/>
        <w:jc w:val="both"/>
        <w:rPr>
          <w:rFonts w:ascii="Times New Roman" w:hAnsi="Times New Roman"/>
          <w:bCs/>
          <w:sz w:val="24"/>
          <w:szCs w:val="24"/>
        </w:rPr>
      </w:pPr>
      <w:r>
        <w:rPr>
          <w:rFonts w:ascii="Times New Roman" w:hAnsi="Times New Roman"/>
          <w:bCs/>
          <w:sz w:val="24"/>
          <w:szCs w:val="24"/>
        </w:rPr>
        <w:t>Şiddetli respiratuar advers ilaç reaksiyonu:</w:t>
      </w:r>
    </w:p>
    <w:p w:rsidR="00650F9E" w:rsidRDefault="00650F9E" w:rsidP="00C86B5D">
      <w:pPr>
        <w:spacing w:after="0"/>
        <w:jc w:val="both"/>
        <w:rPr>
          <w:rFonts w:ascii="Times New Roman" w:hAnsi="Times New Roman"/>
          <w:bCs/>
          <w:sz w:val="24"/>
          <w:szCs w:val="24"/>
        </w:rPr>
      </w:pPr>
      <w:r>
        <w:rPr>
          <w:rFonts w:ascii="Times New Roman" w:hAnsi="Times New Roman"/>
          <w:bCs/>
          <w:sz w:val="24"/>
          <w:szCs w:val="24"/>
        </w:rPr>
        <w:t>İmatinib tedavisiyle kimi zaman ölümcül olan, akut respiratuar yetmezlik, pulmoner hipertansiyon, interstisyal akciğer hastalığı ve pulmoner fibroz gibi şiddetli respiratuar olaylar gözlenmiştir. Vakaların çoğunda, şiddetli respiratuar olaylarla ilişkili olabilecek, daha önce mevcut kardiyak ya da pulmoner durumlar bildirilmiştir.</w:t>
      </w:r>
    </w:p>
    <w:p w:rsidR="00650F9E" w:rsidRDefault="00650F9E" w:rsidP="00C86B5D">
      <w:pPr>
        <w:spacing w:after="0"/>
        <w:jc w:val="both"/>
        <w:rPr>
          <w:rFonts w:ascii="Times New Roman" w:hAnsi="Times New Roman"/>
          <w:bCs/>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Laboratuvar testi anormallikleri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Hematoloji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KML</w:t>
      </w:r>
      <w:r w:rsidR="00F54064">
        <w:rPr>
          <w:rFonts w:ascii="Times New Roman" w:hAnsi="Times New Roman"/>
          <w:sz w:val="24"/>
          <w:szCs w:val="24"/>
        </w:rPr>
        <w:t>’</w:t>
      </w:r>
      <w:r w:rsidRPr="004B3EB9">
        <w:rPr>
          <w:rFonts w:ascii="Times New Roman" w:hAnsi="Times New Roman"/>
          <w:sz w:val="24"/>
          <w:szCs w:val="24"/>
        </w:rPr>
        <w:t xml:space="preserve">de başta nötropeni ve trombositopeni olmak üzere sitopeniler tüm çalışmaların devamlı bir bulgusu olmuş, </w:t>
      </w:r>
      <w:r w:rsidR="00A34649" w:rsidRPr="004B3EB9">
        <w:rPr>
          <w:rFonts w:ascii="Times New Roman" w:hAnsi="Times New Roman"/>
          <w:sz w:val="24"/>
          <w:szCs w:val="24"/>
        </w:rPr>
        <w:t>≥</w:t>
      </w:r>
      <w:r w:rsidRPr="004B3EB9">
        <w:rPr>
          <w:rFonts w:ascii="Times New Roman" w:hAnsi="Times New Roman"/>
          <w:sz w:val="24"/>
          <w:szCs w:val="24"/>
        </w:rPr>
        <w:t xml:space="preserve"> 750 mg gibi daha yüksek dozlarda daha sık oldukla</w:t>
      </w:r>
      <w:r w:rsidR="00A34649" w:rsidRPr="004B3EB9">
        <w:rPr>
          <w:rFonts w:ascii="Times New Roman" w:hAnsi="Times New Roman"/>
          <w:sz w:val="24"/>
          <w:szCs w:val="24"/>
        </w:rPr>
        <w:t>rı</w:t>
      </w:r>
      <w:r w:rsidRPr="004B3EB9">
        <w:rPr>
          <w:rFonts w:ascii="Times New Roman" w:hAnsi="Times New Roman"/>
          <w:sz w:val="24"/>
          <w:szCs w:val="24"/>
        </w:rPr>
        <w:t xml:space="preserve"> düşünülmüştür (faz I ça</w:t>
      </w:r>
      <w:r w:rsidR="00A34649" w:rsidRPr="004B3EB9">
        <w:rPr>
          <w:rFonts w:ascii="Times New Roman" w:hAnsi="Times New Roman"/>
          <w:sz w:val="24"/>
          <w:szCs w:val="24"/>
        </w:rPr>
        <w:t>lı</w:t>
      </w:r>
      <w:r w:rsidRPr="004B3EB9">
        <w:rPr>
          <w:rFonts w:ascii="Times New Roman" w:hAnsi="Times New Roman"/>
          <w:sz w:val="24"/>
          <w:szCs w:val="24"/>
        </w:rPr>
        <w:t xml:space="preserve">şma). Bununla birlikte, sitopenilerin ortaya çıkışı, aynı zamanda açıkça hastalığın evresine de bağlı olmuştur. Sitopeniler, yeni tanı konulan KML </w:t>
      </w:r>
      <w:r w:rsidR="00791617" w:rsidRPr="004B3EB9">
        <w:rPr>
          <w:rFonts w:ascii="Times New Roman" w:hAnsi="Times New Roman"/>
          <w:sz w:val="24"/>
          <w:szCs w:val="24"/>
        </w:rPr>
        <w:t>vakaların</w:t>
      </w:r>
      <w:r w:rsidRPr="004B3EB9">
        <w:rPr>
          <w:rFonts w:ascii="Times New Roman" w:hAnsi="Times New Roman"/>
          <w:sz w:val="24"/>
          <w:szCs w:val="24"/>
        </w:rPr>
        <w:t>da, diğer vakalara kıyasla daha seyrektir. Evre 3 veya 4 nötropenilerin (ANC &lt; 1.0xl0</w:t>
      </w:r>
      <w:r w:rsidRPr="004B3EB9">
        <w:rPr>
          <w:rFonts w:ascii="Times New Roman" w:hAnsi="Times New Roman"/>
          <w:sz w:val="24"/>
          <w:szCs w:val="24"/>
          <w:vertAlign w:val="superscript"/>
        </w:rPr>
        <w:t>9</w:t>
      </w:r>
      <w:r w:rsidRPr="004B3EB9">
        <w:rPr>
          <w:rFonts w:ascii="Times New Roman" w:hAnsi="Times New Roman"/>
          <w:sz w:val="24"/>
          <w:szCs w:val="24"/>
        </w:rPr>
        <w:t>/L) ve trombositopenilerin (trombosit sayısı &lt; 50xl0</w:t>
      </w:r>
      <w:r w:rsidRPr="004B3EB9">
        <w:rPr>
          <w:rFonts w:ascii="Times New Roman" w:hAnsi="Times New Roman"/>
          <w:sz w:val="24"/>
          <w:szCs w:val="24"/>
          <w:vertAlign w:val="superscript"/>
        </w:rPr>
        <w:t>9</w:t>
      </w:r>
      <w:r w:rsidRPr="004B3EB9">
        <w:rPr>
          <w:rFonts w:ascii="Times New Roman" w:hAnsi="Times New Roman"/>
          <w:sz w:val="24"/>
          <w:szCs w:val="24"/>
        </w:rPr>
        <w:t>/L) blast krizindeki ve hızlanmış fazdaki sıklığı,</w:t>
      </w:r>
      <w:r w:rsidR="00E31771" w:rsidRPr="004B3EB9">
        <w:rPr>
          <w:rFonts w:ascii="Times New Roman" w:hAnsi="Times New Roman"/>
          <w:sz w:val="24"/>
          <w:szCs w:val="24"/>
        </w:rPr>
        <w:t xml:space="preserve"> </w:t>
      </w:r>
      <w:r w:rsidRPr="004B3EB9">
        <w:rPr>
          <w:rFonts w:ascii="Times New Roman" w:hAnsi="Times New Roman"/>
          <w:sz w:val="24"/>
          <w:szCs w:val="24"/>
        </w:rPr>
        <w:t>yeni tanı konulan kronik faz KML vakalar</w:t>
      </w:r>
      <w:r w:rsidR="00FE4E94" w:rsidRPr="004B3EB9">
        <w:rPr>
          <w:rFonts w:ascii="Times New Roman" w:hAnsi="Times New Roman"/>
          <w:sz w:val="24"/>
          <w:szCs w:val="24"/>
        </w:rPr>
        <w:t>ın</w:t>
      </w:r>
      <w:r w:rsidRPr="004B3EB9">
        <w:rPr>
          <w:rFonts w:ascii="Times New Roman" w:hAnsi="Times New Roman"/>
          <w:sz w:val="24"/>
          <w:szCs w:val="24"/>
        </w:rPr>
        <w:t xml:space="preserve">dakinin 4-6 katıdır. Yeni tanı kronik </w:t>
      </w:r>
      <w:r w:rsidR="00641DCE">
        <w:rPr>
          <w:rFonts w:ascii="Times New Roman" w:hAnsi="Times New Roman"/>
          <w:sz w:val="24"/>
          <w:szCs w:val="24"/>
        </w:rPr>
        <w:t xml:space="preserve">faz </w:t>
      </w:r>
      <w:r w:rsidRPr="004B3EB9">
        <w:rPr>
          <w:rFonts w:ascii="Times New Roman" w:hAnsi="Times New Roman"/>
          <w:sz w:val="24"/>
          <w:szCs w:val="24"/>
        </w:rPr>
        <w:t xml:space="preserve">KML </w:t>
      </w:r>
      <w:r w:rsidR="00791617" w:rsidRPr="004B3EB9">
        <w:rPr>
          <w:rFonts w:ascii="Times New Roman" w:hAnsi="Times New Roman"/>
          <w:sz w:val="24"/>
          <w:szCs w:val="24"/>
        </w:rPr>
        <w:t>vakaların</w:t>
      </w:r>
      <w:r w:rsidRPr="004B3EB9">
        <w:rPr>
          <w:rFonts w:ascii="Times New Roman" w:hAnsi="Times New Roman"/>
          <w:sz w:val="24"/>
          <w:szCs w:val="24"/>
        </w:rPr>
        <w:t xml:space="preserve">da % </w:t>
      </w:r>
      <w:proofErr w:type="gramStart"/>
      <w:r w:rsidRPr="004B3EB9">
        <w:rPr>
          <w:rFonts w:ascii="Times New Roman" w:hAnsi="Times New Roman"/>
          <w:sz w:val="24"/>
          <w:szCs w:val="24"/>
        </w:rPr>
        <w:t>16.7</w:t>
      </w:r>
      <w:proofErr w:type="gramEnd"/>
      <w:r w:rsidRPr="004B3EB9">
        <w:rPr>
          <w:rFonts w:ascii="Times New Roman" w:hAnsi="Times New Roman"/>
          <w:sz w:val="24"/>
          <w:szCs w:val="24"/>
        </w:rPr>
        <w:t xml:space="preserve"> nötropeni ve % 8.9 trombositopeni görülürken, bu oranlar hızlanmış ve blastik fazda sırasıyla, % 59-64 ve % 44-63</w:t>
      </w:r>
      <w:r w:rsidR="00E31771" w:rsidRPr="004B3EB9">
        <w:rPr>
          <w:rFonts w:ascii="Times New Roman" w:hAnsi="Times New Roman"/>
          <w:sz w:val="24"/>
          <w:szCs w:val="24"/>
        </w:rPr>
        <w:t xml:space="preserve"> olarak bildirilmiştir. Yeni tanı</w:t>
      </w:r>
      <w:r w:rsidRPr="004B3EB9">
        <w:rPr>
          <w:rFonts w:ascii="Times New Roman" w:hAnsi="Times New Roman"/>
          <w:sz w:val="24"/>
          <w:szCs w:val="24"/>
        </w:rPr>
        <w:t xml:space="preserve"> konulmuş olan kronik faz KML vakalarında evre 4 nötropeni (ANC &lt; 0.5xl0</w:t>
      </w:r>
      <w:r w:rsidRPr="004B3EB9">
        <w:rPr>
          <w:rFonts w:ascii="Times New Roman" w:hAnsi="Times New Roman"/>
          <w:sz w:val="24"/>
          <w:szCs w:val="24"/>
          <w:vertAlign w:val="superscript"/>
        </w:rPr>
        <w:t>9</w:t>
      </w:r>
      <w:r w:rsidRPr="004B3EB9">
        <w:rPr>
          <w:rFonts w:ascii="Times New Roman" w:hAnsi="Times New Roman"/>
          <w:sz w:val="24"/>
          <w:szCs w:val="24"/>
        </w:rPr>
        <w:t>/L) ve trombositopeni (trombosit sayısı &lt; 10xl0</w:t>
      </w:r>
      <w:r w:rsidRPr="004B3EB9">
        <w:rPr>
          <w:rFonts w:ascii="Times New Roman" w:hAnsi="Times New Roman"/>
          <w:sz w:val="24"/>
          <w:szCs w:val="24"/>
          <w:vertAlign w:val="superscript"/>
        </w:rPr>
        <w:t>9</w:t>
      </w:r>
      <w:r w:rsidRPr="004B3EB9">
        <w:rPr>
          <w:rFonts w:ascii="Times New Roman" w:hAnsi="Times New Roman"/>
          <w:sz w:val="24"/>
          <w:szCs w:val="24"/>
        </w:rPr>
        <w:t>/L), sırasıyla yalnızca %</w:t>
      </w:r>
      <w:proofErr w:type="gramStart"/>
      <w:r w:rsidRPr="004B3EB9">
        <w:rPr>
          <w:rFonts w:ascii="Times New Roman" w:hAnsi="Times New Roman"/>
          <w:sz w:val="24"/>
          <w:szCs w:val="24"/>
        </w:rPr>
        <w:t>3.6</w:t>
      </w:r>
      <w:proofErr w:type="gramEnd"/>
      <w:r w:rsidRPr="004B3EB9">
        <w:rPr>
          <w:rFonts w:ascii="Times New Roman" w:hAnsi="Times New Roman"/>
          <w:sz w:val="24"/>
          <w:szCs w:val="24"/>
        </w:rPr>
        <w:t xml:space="preserve"> ve &lt; %1 oranında görülmüştür. Nötropenik ve trombositopenik </w:t>
      </w:r>
      <w:proofErr w:type="gramStart"/>
      <w:r w:rsidRPr="004B3EB9">
        <w:rPr>
          <w:rFonts w:ascii="Times New Roman" w:hAnsi="Times New Roman"/>
          <w:sz w:val="24"/>
          <w:szCs w:val="24"/>
        </w:rPr>
        <w:t>periyotların</w:t>
      </w:r>
      <w:proofErr w:type="gramEnd"/>
      <w:r w:rsidR="00FE4E94" w:rsidRPr="004B3EB9">
        <w:rPr>
          <w:rFonts w:ascii="Times New Roman" w:hAnsi="Times New Roman"/>
          <w:sz w:val="24"/>
          <w:szCs w:val="24"/>
        </w:rPr>
        <w:t xml:space="preserve"> </w:t>
      </w:r>
      <w:r w:rsidRPr="004B3EB9">
        <w:rPr>
          <w:rFonts w:ascii="Times New Roman" w:hAnsi="Times New Roman"/>
          <w:sz w:val="24"/>
          <w:szCs w:val="24"/>
        </w:rPr>
        <w:t>ortalama süresi genellikle sırasıyla 2 ve 3. haftalar arasında ve 3 ve 4. haftalar aras</w:t>
      </w:r>
      <w:r w:rsidR="00FE4E94" w:rsidRPr="004B3EB9">
        <w:rPr>
          <w:rFonts w:ascii="Times New Roman" w:hAnsi="Times New Roman"/>
          <w:sz w:val="24"/>
          <w:szCs w:val="24"/>
        </w:rPr>
        <w:t>ın</w:t>
      </w:r>
      <w:r w:rsidRPr="004B3EB9">
        <w:rPr>
          <w:rFonts w:ascii="Times New Roman" w:hAnsi="Times New Roman"/>
          <w:sz w:val="24"/>
          <w:szCs w:val="24"/>
        </w:rPr>
        <w:t xml:space="preserve">da yer almıştır. Bu olaylar, genellikle </w:t>
      </w:r>
      <w:r w:rsidR="009E236D" w:rsidRPr="004B3EB9">
        <w:rPr>
          <w:rFonts w:ascii="Times New Roman" w:hAnsi="Times New Roman"/>
          <w:sz w:val="24"/>
          <w:szCs w:val="24"/>
        </w:rPr>
        <w:t>İMATİS</w:t>
      </w:r>
      <w:r w:rsidRPr="004B3EB9">
        <w:rPr>
          <w:rFonts w:ascii="Times New Roman" w:hAnsi="Times New Roman"/>
          <w:sz w:val="24"/>
          <w:szCs w:val="24"/>
        </w:rPr>
        <w:t xml:space="preserve"> ile tedavinin dozu azaltılarak ya da tedavi kesilerek kontrol edilebilir, ancak bazı nadir vakalarda kalıcı olarak tedavinin bırakılmasına neden olabilir. Pediyatrik KML </w:t>
      </w:r>
      <w:r w:rsidR="009E236D" w:rsidRPr="004B3EB9">
        <w:rPr>
          <w:rFonts w:ascii="Times New Roman" w:hAnsi="Times New Roman"/>
          <w:sz w:val="24"/>
          <w:szCs w:val="24"/>
        </w:rPr>
        <w:t>hastaların</w:t>
      </w:r>
      <w:r w:rsidRPr="004B3EB9">
        <w:rPr>
          <w:rFonts w:ascii="Times New Roman" w:hAnsi="Times New Roman"/>
          <w:sz w:val="24"/>
          <w:szCs w:val="24"/>
        </w:rPr>
        <w:t xml:space="preserve">da en sık gözlenen toksisiteler; nötropeni, trombositopeni ve anemi </w:t>
      </w:r>
      <w:proofErr w:type="gramStart"/>
      <w:r w:rsidRPr="004B3EB9">
        <w:rPr>
          <w:rFonts w:ascii="Times New Roman" w:hAnsi="Times New Roman"/>
          <w:sz w:val="24"/>
          <w:szCs w:val="24"/>
        </w:rPr>
        <w:t>dahil</w:t>
      </w:r>
      <w:proofErr w:type="gramEnd"/>
      <w:r w:rsidRPr="004B3EB9">
        <w:rPr>
          <w:rFonts w:ascii="Times New Roman" w:hAnsi="Times New Roman"/>
          <w:sz w:val="24"/>
          <w:szCs w:val="24"/>
        </w:rPr>
        <w:t xml:space="preserve"> olmak üzere 3 ya da 4. derece sitopeniler olmuştur. Bunlar genellikle ilk birkaç ay içerisinde gerçekleşmektedir.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Biyokimya</w:t>
      </w:r>
    </w:p>
    <w:p w:rsidR="00EF2BCC"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KML </w:t>
      </w:r>
      <w:r w:rsidR="009E236D" w:rsidRPr="004B3EB9">
        <w:rPr>
          <w:rFonts w:ascii="Times New Roman" w:hAnsi="Times New Roman"/>
          <w:sz w:val="24"/>
          <w:szCs w:val="24"/>
        </w:rPr>
        <w:t>hastaların</w:t>
      </w:r>
      <w:r w:rsidRPr="004B3EB9">
        <w:rPr>
          <w:rFonts w:ascii="Times New Roman" w:hAnsi="Times New Roman"/>
          <w:sz w:val="24"/>
          <w:szCs w:val="24"/>
        </w:rPr>
        <w:t>da transaminazlarda (&lt; % 5) ya da bilirubinde (&lt; %1) ciddi artışlar nadir olmuştur (</w:t>
      </w:r>
      <w:r w:rsidR="009E236D" w:rsidRPr="004B3EB9">
        <w:rPr>
          <w:rFonts w:ascii="Times New Roman" w:hAnsi="Times New Roman"/>
          <w:sz w:val="24"/>
          <w:szCs w:val="24"/>
        </w:rPr>
        <w:t>hastaların</w:t>
      </w:r>
      <w:r w:rsidRPr="004B3EB9">
        <w:rPr>
          <w:rFonts w:ascii="Times New Roman" w:hAnsi="Times New Roman"/>
          <w:sz w:val="24"/>
          <w:szCs w:val="24"/>
        </w:rPr>
        <w:t xml:space="preserve"> &lt; % 3</w:t>
      </w:r>
      <w:r w:rsidR="00F54064">
        <w:rPr>
          <w:rFonts w:ascii="Times New Roman" w:hAnsi="Times New Roman"/>
          <w:sz w:val="24"/>
          <w:szCs w:val="24"/>
        </w:rPr>
        <w:t>’</w:t>
      </w:r>
      <w:r w:rsidRPr="004B3EB9">
        <w:rPr>
          <w:rFonts w:ascii="Times New Roman" w:hAnsi="Times New Roman"/>
          <w:sz w:val="24"/>
          <w:szCs w:val="24"/>
        </w:rPr>
        <w:t>ü) ve genellikle doz azaltılarak ya da kesilerek (bu epizodların ortalama süresi yaklaşık 1 hafta olmuştur) kontrol alt</w:t>
      </w:r>
      <w:r w:rsidR="00FE4E94" w:rsidRPr="004B3EB9">
        <w:rPr>
          <w:rFonts w:ascii="Times New Roman" w:hAnsi="Times New Roman"/>
          <w:sz w:val="24"/>
          <w:szCs w:val="24"/>
        </w:rPr>
        <w:t>ın</w:t>
      </w:r>
      <w:r w:rsidRPr="004B3EB9">
        <w:rPr>
          <w:rFonts w:ascii="Times New Roman" w:hAnsi="Times New Roman"/>
          <w:sz w:val="24"/>
          <w:szCs w:val="24"/>
        </w:rPr>
        <w:t xml:space="preserve">a alınmıştır. KML </w:t>
      </w:r>
      <w:r w:rsidR="009E236D" w:rsidRPr="004B3EB9">
        <w:rPr>
          <w:rFonts w:ascii="Times New Roman" w:hAnsi="Times New Roman"/>
          <w:sz w:val="24"/>
          <w:szCs w:val="24"/>
        </w:rPr>
        <w:t>hastaların</w:t>
      </w:r>
      <w:r w:rsidRPr="004B3EB9">
        <w:rPr>
          <w:rFonts w:ascii="Times New Roman" w:hAnsi="Times New Roman"/>
          <w:sz w:val="24"/>
          <w:szCs w:val="24"/>
        </w:rPr>
        <w:t xml:space="preserve"> % </w:t>
      </w:r>
      <w:r w:rsidR="00FE4E94" w:rsidRPr="004B3EB9">
        <w:rPr>
          <w:rFonts w:ascii="Times New Roman" w:hAnsi="Times New Roman"/>
          <w:sz w:val="24"/>
          <w:szCs w:val="24"/>
        </w:rPr>
        <w:t>1</w:t>
      </w:r>
      <w:r w:rsidR="00F54064">
        <w:rPr>
          <w:rFonts w:ascii="Times New Roman" w:hAnsi="Times New Roman"/>
          <w:sz w:val="24"/>
          <w:szCs w:val="24"/>
        </w:rPr>
        <w:t>’</w:t>
      </w:r>
      <w:r w:rsidRPr="004B3EB9">
        <w:rPr>
          <w:rFonts w:ascii="Times New Roman" w:hAnsi="Times New Roman"/>
          <w:sz w:val="24"/>
          <w:szCs w:val="24"/>
        </w:rPr>
        <w:t>inden azında karaciğer laboratuar anormallikleri nedeniyle tedavi sürekli olarak ke</w:t>
      </w:r>
      <w:r w:rsidR="00FE4E94" w:rsidRPr="004B3EB9">
        <w:rPr>
          <w:rFonts w:ascii="Times New Roman" w:hAnsi="Times New Roman"/>
          <w:sz w:val="24"/>
          <w:szCs w:val="24"/>
        </w:rPr>
        <w:t xml:space="preserve">silmiştir.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Bazıla</w:t>
      </w:r>
      <w:r w:rsidR="00FE4E94" w:rsidRPr="004B3EB9">
        <w:rPr>
          <w:rFonts w:ascii="Times New Roman" w:hAnsi="Times New Roman"/>
          <w:sz w:val="24"/>
          <w:szCs w:val="24"/>
        </w:rPr>
        <w:t>rı</w:t>
      </w:r>
      <w:r w:rsidRPr="004B3EB9">
        <w:rPr>
          <w:rFonts w:ascii="Times New Roman" w:hAnsi="Times New Roman"/>
          <w:sz w:val="24"/>
          <w:szCs w:val="24"/>
        </w:rPr>
        <w:t xml:space="preserve"> ölümcül olabilen sitolitik ve kolestatik hepatit ve karaciğer yetmezliği vakala</w:t>
      </w:r>
      <w:r w:rsidR="00FE4E94" w:rsidRPr="004B3EB9">
        <w:rPr>
          <w:rFonts w:ascii="Times New Roman" w:hAnsi="Times New Roman"/>
          <w:sz w:val="24"/>
          <w:szCs w:val="24"/>
        </w:rPr>
        <w:t>rı</w:t>
      </w:r>
      <w:r w:rsidRPr="004B3EB9">
        <w:rPr>
          <w:rFonts w:ascii="Times New Roman" w:hAnsi="Times New Roman"/>
          <w:sz w:val="24"/>
          <w:szCs w:val="24"/>
        </w:rPr>
        <w:t xml:space="preserve"> mevcuttur.</w:t>
      </w:r>
    </w:p>
    <w:p w:rsidR="00FA40FF" w:rsidRDefault="00FA40FF" w:rsidP="00C86B5D">
      <w:pPr>
        <w:spacing w:after="0"/>
        <w:jc w:val="both"/>
        <w:rPr>
          <w:rFonts w:ascii="Times New Roman" w:hAnsi="Times New Roman"/>
          <w:sz w:val="24"/>
          <w:szCs w:val="24"/>
        </w:rPr>
      </w:pPr>
    </w:p>
    <w:p w:rsidR="004E7E2D" w:rsidRPr="00CF646B" w:rsidRDefault="004E7E2D" w:rsidP="004E7E2D">
      <w:pPr>
        <w:spacing w:after="0" w:line="360" w:lineRule="auto"/>
        <w:jc w:val="both"/>
        <w:rPr>
          <w:rFonts w:ascii="Times New Roman" w:hAnsi="Times New Roman"/>
          <w:color w:val="0070C0"/>
          <w:sz w:val="24"/>
          <w:szCs w:val="24"/>
          <w:u w:val="single"/>
        </w:rPr>
      </w:pPr>
      <w:r w:rsidRPr="00CF646B">
        <w:rPr>
          <w:rFonts w:ascii="Times New Roman" w:hAnsi="Times New Roman"/>
          <w:color w:val="0070C0"/>
          <w:sz w:val="24"/>
          <w:szCs w:val="24"/>
          <w:u w:val="single"/>
        </w:rPr>
        <w:t>Şüpheli advers reaksiyonların raporlanması</w:t>
      </w:r>
    </w:p>
    <w:p w:rsidR="004E7E2D" w:rsidRPr="00CF646B" w:rsidRDefault="004E7E2D" w:rsidP="004E7E2D">
      <w:pPr>
        <w:spacing w:after="0" w:line="360" w:lineRule="auto"/>
        <w:jc w:val="both"/>
        <w:rPr>
          <w:rFonts w:ascii="Times New Roman" w:hAnsi="Times New Roman"/>
          <w:color w:val="0070C0"/>
          <w:sz w:val="24"/>
          <w:szCs w:val="24"/>
        </w:rPr>
      </w:pPr>
      <w:r w:rsidRPr="00CF646B">
        <w:rPr>
          <w:rFonts w:ascii="Times New Roman" w:hAnsi="Times New Roman"/>
          <w:color w:val="0070C0"/>
          <w:sz w:val="24"/>
          <w:szCs w:val="24"/>
        </w:rPr>
        <w:t>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Farmakovijilans Merkezi (TÜFAM)'ne bildirmeleri gerekmektedir. (</w:t>
      </w:r>
      <w:hyperlink r:id="rId7" w:history="1">
        <w:r w:rsidRPr="0083430B">
          <w:rPr>
            <w:rStyle w:val="Kpr"/>
            <w:rFonts w:ascii="Times New Roman" w:hAnsi="Times New Roman"/>
            <w:sz w:val="24"/>
            <w:szCs w:val="24"/>
          </w:rPr>
          <w:t>www.titck.gov.tr</w:t>
        </w:r>
      </w:hyperlink>
      <w:r>
        <w:rPr>
          <w:rFonts w:ascii="Times New Roman" w:hAnsi="Times New Roman"/>
          <w:color w:val="0070C0"/>
          <w:sz w:val="24"/>
          <w:szCs w:val="24"/>
        </w:rPr>
        <w:t xml:space="preserve">; </w:t>
      </w:r>
      <w:r w:rsidRPr="00CF646B">
        <w:rPr>
          <w:rFonts w:ascii="Times New Roman" w:hAnsi="Times New Roman"/>
          <w:color w:val="0070C0"/>
          <w:sz w:val="24"/>
          <w:szCs w:val="24"/>
        </w:rPr>
        <w:t>e-posta: tufam@titck.gov.tr; tel: 0 800 314 00 08; faks: 0 312 218 35 99)</w:t>
      </w:r>
    </w:p>
    <w:p w:rsidR="004E7E2D" w:rsidRPr="004B3EB9" w:rsidRDefault="004E7E2D"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4.9.</w:t>
      </w:r>
      <w:r w:rsidR="00791617" w:rsidRPr="004B3EB9">
        <w:rPr>
          <w:rFonts w:ascii="Times New Roman" w:hAnsi="Times New Roman"/>
          <w:b/>
          <w:bCs/>
          <w:sz w:val="24"/>
          <w:szCs w:val="24"/>
        </w:rPr>
        <w:t xml:space="preserve"> </w:t>
      </w:r>
      <w:r w:rsidRPr="004B3EB9">
        <w:rPr>
          <w:rFonts w:ascii="Times New Roman" w:hAnsi="Times New Roman"/>
          <w:b/>
          <w:bCs/>
          <w:sz w:val="24"/>
          <w:szCs w:val="24"/>
        </w:rPr>
        <w:t>Doz aşımı</w:t>
      </w:r>
    </w:p>
    <w:p w:rsidR="00F3186B"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Terapötik dozlardan daha yüksek dozlarla deneyim sınırlıdır. </w:t>
      </w:r>
      <w:r w:rsidR="009E236D"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doz aşımı ile ilgili bireysel vakalar spontan olarak ve </w:t>
      </w:r>
      <w:proofErr w:type="gramStart"/>
      <w:r w:rsidRPr="004B3EB9">
        <w:rPr>
          <w:rFonts w:ascii="Times New Roman" w:hAnsi="Times New Roman"/>
          <w:sz w:val="24"/>
          <w:szCs w:val="24"/>
        </w:rPr>
        <w:t>literatürde</w:t>
      </w:r>
      <w:proofErr w:type="gramEnd"/>
      <w:r w:rsidRPr="004B3EB9">
        <w:rPr>
          <w:rFonts w:ascii="Times New Roman" w:hAnsi="Times New Roman"/>
          <w:sz w:val="24"/>
          <w:szCs w:val="24"/>
        </w:rPr>
        <w:t xml:space="preserve"> bildirilmiştir. Genellikle, bu vakalarda bildirilen sonuçlar düzelme ya da iyileşme şeklinde olmuştur. Doz aşımı halinde, hasta gözlem altında tutulma</w:t>
      </w:r>
      <w:r w:rsidR="00141666" w:rsidRPr="004B3EB9">
        <w:rPr>
          <w:rFonts w:ascii="Times New Roman" w:hAnsi="Times New Roman"/>
          <w:sz w:val="24"/>
          <w:szCs w:val="24"/>
        </w:rPr>
        <w:t>lı</w:t>
      </w:r>
      <w:r w:rsidRPr="004B3EB9">
        <w:rPr>
          <w:rFonts w:ascii="Times New Roman" w:hAnsi="Times New Roman"/>
          <w:sz w:val="24"/>
          <w:szCs w:val="24"/>
        </w:rPr>
        <w:t xml:space="preserve"> ve uyg</w:t>
      </w:r>
      <w:r w:rsidR="00FE4E94" w:rsidRPr="004B3EB9">
        <w:rPr>
          <w:rFonts w:ascii="Times New Roman" w:hAnsi="Times New Roman"/>
          <w:sz w:val="24"/>
          <w:szCs w:val="24"/>
        </w:rPr>
        <w:t>un semptomatik tedavi uygulanmalı</w:t>
      </w:r>
      <w:r w:rsidRPr="004B3EB9">
        <w:rPr>
          <w:rFonts w:ascii="Times New Roman" w:hAnsi="Times New Roman"/>
          <w:sz w:val="24"/>
          <w:szCs w:val="24"/>
        </w:rPr>
        <w:t>dır.</w:t>
      </w:r>
    </w:p>
    <w:p w:rsidR="00FE4E94"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Fark</w:t>
      </w:r>
      <w:r w:rsidR="00FE4E94" w:rsidRPr="004B3EB9">
        <w:rPr>
          <w:rFonts w:ascii="Times New Roman" w:hAnsi="Times New Roman"/>
          <w:sz w:val="24"/>
          <w:szCs w:val="24"/>
        </w:rPr>
        <w:t>lı</w:t>
      </w:r>
      <w:r w:rsidRPr="004B3EB9">
        <w:rPr>
          <w:rFonts w:ascii="Times New Roman" w:hAnsi="Times New Roman"/>
          <w:sz w:val="24"/>
          <w:szCs w:val="24"/>
        </w:rPr>
        <w:t xml:space="preserve"> doz ara</w:t>
      </w:r>
      <w:r w:rsidR="00FE4E94" w:rsidRPr="004B3EB9">
        <w:rPr>
          <w:rFonts w:ascii="Times New Roman" w:hAnsi="Times New Roman"/>
          <w:sz w:val="24"/>
          <w:szCs w:val="24"/>
        </w:rPr>
        <w:t>lı</w:t>
      </w:r>
      <w:r w:rsidRPr="004B3EB9">
        <w:rPr>
          <w:rFonts w:ascii="Times New Roman" w:hAnsi="Times New Roman"/>
          <w:sz w:val="24"/>
          <w:szCs w:val="24"/>
        </w:rPr>
        <w:t>k</w:t>
      </w:r>
      <w:r w:rsidR="00791617" w:rsidRPr="004B3EB9">
        <w:rPr>
          <w:rFonts w:ascii="Times New Roman" w:hAnsi="Times New Roman"/>
          <w:sz w:val="24"/>
          <w:szCs w:val="24"/>
        </w:rPr>
        <w:t>ların</w:t>
      </w:r>
      <w:r w:rsidRPr="004B3EB9">
        <w:rPr>
          <w:rFonts w:ascii="Times New Roman" w:hAnsi="Times New Roman"/>
          <w:sz w:val="24"/>
          <w:szCs w:val="24"/>
        </w:rPr>
        <w:t xml:space="preserve">da bildirilen olaylar aşağıda verilmiştir: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Erişkinlerde doz aşımı:</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1,200 ila 1,600 mg (1 ila 10 gün aras</w:t>
      </w:r>
      <w:r w:rsidR="00FE4E94" w:rsidRPr="004B3EB9">
        <w:rPr>
          <w:rFonts w:ascii="Times New Roman" w:hAnsi="Times New Roman"/>
          <w:sz w:val="24"/>
          <w:szCs w:val="24"/>
        </w:rPr>
        <w:t>ın</w:t>
      </w:r>
      <w:r w:rsidRPr="004B3EB9">
        <w:rPr>
          <w:rFonts w:ascii="Times New Roman" w:hAnsi="Times New Roman"/>
          <w:sz w:val="24"/>
          <w:szCs w:val="24"/>
        </w:rPr>
        <w:t>da değişen sürelerle): Bulantı, kusma, diyare, döküntü, eritem, ödem, şişme, yorgunluk, kas spazmla</w:t>
      </w:r>
      <w:r w:rsidR="00FE4E94" w:rsidRPr="004B3EB9">
        <w:rPr>
          <w:rFonts w:ascii="Times New Roman" w:hAnsi="Times New Roman"/>
          <w:sz w:val="24"/>
          <w:szCs w:val="24"/>
        </w:rPr>
        <w:t>rı</w:t>
      </w:r>
      <w:r w:rsidRPr="004B3EB9">
        <w:rPr>
          <w:rFonts w:ascii="Times New Roman" w:hAnsi="Times New Roman"/>
          <w:sz w:val="24"/>
          <w:szCs w:val="24"/>
        </w:rPr>
        <w:t>, trombositopeni, pansitopeni, ka</w:t>
      </w:r>
      <w:r w:rsidR="00FE4E94" w:rsidRPr="004B3EB9">
        <w:rPr>
          <w:rFonts w:ascii="Times New Roman" w:hAnsi="Times New Roman"/>
          <w:sz w:val="24"/>
          <w:szCs w:val="24"/>
        </w:rPr>
        <w:t>rı</w:t>
      </w:r>
      <w:r w:rsidRPr="004B3EB9">
        <w:rPr>
          <w:rFonts w:ascii="Times New Roman" w:hAnsi="Times New Roman"/>
          <w:sz w:val="24"/>
          <w:szCs w:val="24"/>
        </w:rPr>
        <w:t xml:space="preserve">n </w:t>
      </w:r>
      <w:r w:rsidR="004F3870" w:rsidRPr="004B3EB9">
        <w:rPr>
          <w:rFonts w:ascii="Times New Roman" w:hAnsi="Times New Roman"/>
          <w:sz w:val="24"/>
          <w:szCs w:val="24"/>
        </w:rPr>
        <w:t>ağrı</w:t>
      </w:r>
      <w:r w:rsidRPr="004B3EB9">
        <w:rPr>
          <w:rFonts w:ascii="Times New Roman" w:hAnsi="Times New Roman"/>
          <w:sz w:val="24"/>
          <w:szCs w:val="24"/>
        </w:rPr>
        <w:t xml:space="preserve">sı, baş </w:t>
      </w:r>
      <w:r w:rsidR="004F3870" w:rsidRPr="004B3EB9">
        <w:rPr>
          <w:rFonts w:ascii="Times New Roman" w:hAnsi="Times New Roman"/>
          <w:sz w:val="24"/>
          <w:szCs w:val="24"/>
        </w:rPr>
        <w:t>ağrı</w:t>
      </w:r>
      <w:r w:rsidRPr="004B3EB9">
        <w:rPr>
          <w:rFonts w:ascii="Times New Roman" w:hAnsi="Times New Roman"/>
          <w:sz w:val="24"/>
          <w:szCs w:val="24"/>
        </w:rPr>
        <w:t>sı, iştahta azalma. 1,800 ila 3,200 mg (6 gün boyunca günde 3,200 mg</w:t>
      </w:r>
      <w:r w:rsidR="00F54064">
        <w:rPr>
          <w:rFonts w:ascii="Times New Roman" w:hAnsi="Times New Roman"/>
          <w:sz w:val="24"/>
          <w:szCs w:val="24"/>
        </w:rPr>
        <w:t>’</w:t>
      </w:r>
      <w:r w:rsidRPr="004B3EB9">
        <w:rPr>
          <w:rFonts w:ascii="Times New Roman" w:hAnsi="Times New Roman"/>
          <w:sz w:val="24"/>
          <w:szCs w:val="24"/>
        </w:rPr>
        <w:t xml:space="preserve">a kadar dozlar): Güçsüzlük, miyalji, CPK düzeyinde yükselme, bilirubin düzeyinde yükselme, gastrointestinal </w:t>
      </w:r>
      <w:r w:rsidR="004F3870" w:rsidRPr="004B3EB9">
        <w:rPr>
          <w:rFonts w:ascii="Times New Roman" w:hAnsi="Times New Roman"/>
          <w:sz w:val="24"/>
          <w:szCs w:val="24"/>
        </w:rPr>
        <w:t>ağrı</w:t>
      </w:r>
      <w:r w:rsidRPr="004B3EB9">
        <w:rPr>
          <w:rFonts w:ascii="Times New Roman" w:hAnsi="Times New Roman"/>
          <w:sz w:val="24"/>
          <w:szCs w:val="24"/>
        </w:rPr>
        <w:t>. 6,400 mg (tek doz): Literatürde yer alan</w:t>
      </w:r>
      <w:r w:rsidR="00FE4E94" w:rsidRPr="004B3EB9">
        <w:rPr>
          <w:rFonts w:ascii="Times New Roman" w:hAnsi="Times New Roman"/>
          <w:sz w:val="24"/>
          <w:szCs w:val="24"/>
        </w:rPr>
        <w:t xml:space="preserve"> bir vakada, bulantı, kusma, karı</w:t>
      </w:r>
      <w:r w:rsidRPr="004B3EB9">
        <w:rPr>
          <w:rFonts w:ascii="Times New Roman" w:hAnsi="Times New Roman"/>
          <w:sz w:val="24"/>
          <w:szCs w:val="24"/>
        </w:rPr>
        <w:t xml:space="preserve">n </w:t>
      </w:r>
      <w:r w:rsidR="004F3870" w:rsidRPr="004B3EB9">
        <w:rPr>
          <w:rFonts w:ascii="Times New Roman" w:hAnsi="Times New Roman"/>
          <w:sz w:val="24"/>
          <w:szCs w:val="24"/>
        </w:rPr>
        <w:t>ağrı</w:t>
      </w:r>
      <w:r w:rsidR="00FE4E94" w:rsidRPr="004B3EB9">
        <w:rPr>
          <w:rFonts w:ascii="Times New Roman" w:hAnsi="Times New Roman"/>
          <w:sz w:val="24"/>
          <w:szCs w:val="24"/>
        </w:rPr>
        <w:t>sı, pireksi, yüzde şişme, nötrofi</w:t>
      </w:r>
      <w:r w:rsidRPr="004B3EB9">
        <w:rPr>
          <w:rFonts w:ascii="Times New Roman" w:hAnsi="Times New Roman"/>
          <w:sz w:val="24"/>
          <w:szCs w:val="24"/>
        </w:rPr>
        <w:t>l sayıs</w:t>
      </w:r>
      <w:r w:rsidR="00FE4E94" w:rsidRPr="004B3EB9">
        <w:rPr>
          <w:rFonts w:ascii="Times New Roman" w:hAnsi="Times New Roman"/>
          <w:sz w:val="24"/>
          <w:szCs w:val="24"/>
        </w:rPr>
        <w:t>ın</w:t>
      </w:r>
      <w:r w:rsidRPr="004B3EB9">
        <w:rPr>
          <w:rFonts w:ascii="Times New Roman" w:hAnsi="Times New Roman"/>
          <w:sz w:val="24"/>
          <w:szCs w:val="24"/>
        </w:rPr>
        <w:t>da azalma, transaminaz düzeylerinde yükselme görülen bir hasta bildirilmişt</w:t>
      </w:r>
      <w:r w:rsidR="00FE4E94" w:rsidRPr="004B3EB9">
        <w:rPr>
          <w:rFonts w:ascii="Times New Roman" w:hAnsi="Times New Roman"/>
          <w:sz w:val="24"/>
          <w:szCs w:val="24"/>
        </w:rPr>
        <w:t>ir</w:t>
      </w:r>
      <w:r w:rsidRPr="004B3EB9">
        <w:rPr>
          <w:rFonts w:ascii="Times New Roman" w:hAnsi="Times New Roman"/>
          <w:sz w:val="24"/>
          <w:szCs w:val="24"/>
        </w:rPr>
        <w:t>.</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8 ila 10 g (tek doz): Kusma ve gastrointestinal </w:t>
      </w:r>
      <w:r w:rsidR="004F3870" w:rsidRPr="004B3EB9">
        <w:rPr>
          <w:rFonts w:ascii="Times New Roman" w:hAnsi="Times New Roman"/>
          <w:sz w:val="24"/>
          <w:szCs w:val="24"/>
        </w:rPr>
        <w:t>ağrı</w:t>
      </w:r>
      <w:r w:rsidRPr="004B3EB9">
        <w:rPr>
          <w:rFonts w:ascii="Times New Roman" w:hAnsi="Times New Roman"/>
          <w:sz w:val="24"/>
          <w:szCs w:val="24"/>
        </w:rPr>
        <w:t xml:space="preserve"> bildirilmiştir.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Pediyatrik doz aşımı:</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400 mg</w:t>
      </w:r>
      <w:r w:rsidR="00F54064">
        <w:rPr>
          <w:rFonts w:ascii="Times New Roman" w:hAnsi="Times New Roman"/>
          <w:sz w:val="24"/>
          <w:szCs w:val="24"/>
        </w:rPr>
        <w:t>’</w:t>
      </w:r>
      <w:r w:rsidR="00FE4E94" w:rsidRPr="004B3EB9">
        <w:rPr>
          <w:rFonts w:ascii="Times New Roman" w:hAnsi="Times New Roman"/>
          <w:sz w:val="24"/>
          <w:szCs w:val="24"/>
        </w:rPr>
        <w:t>lı</w:t>
      </w:r>
      <w:r w:rsidRPr="004B3EB9">
        <w:rPr>
          <w:rFonts w:ascii="Times New Roman" w:hAnsi="Times New Roman"/>
          <w:sz w:val="24"/>
          <w:szCs w:val="24"/>
        </w:rPr>
        <w:t>k tek doza maruz kalan 3 yaşındaki bir erkek çocukta kusma, diyare ve anoreksi; 980 mg</w:t>
      </w:r>
      <w:r w:rsidR="00F54064">
        <w:rPr>
          <w:rFonts w:ascii="Times New Roman" w:hAnsi="Times New Roman"/>
          <w:sz w:val="24"/>
          <w:szCs w:val="24"/>
        </w:rPr>
        <w:t>’</w:t>
      </w:r>
      <w:r w:rsidR="00FE4E94" w:rsidRPr="004B3EB9">
        <w:rPr>
          <w:rFonts w:ascii="Times New Roman" w:hAnsi="Times New Roman"/>
          <w:sz w:val="24"/>
          <w:szCs w:val="24"/>
        </w:rPr>
        <w:t>lı</w:t>
      </w:r>
      <w:r w:rsidRPr="004B3EB9">
        <w:rPr>
          <w:rFonts w:ascii="Times New Roman" w:hAnsi="Times New Roman"/>
          <w:sz w:val="24"/>
          <w:szCs w:val="24"/>
        </w:rPr>
        <w:t>k tek doza maruz kalan 3 yaşındaki diğer bir erkek çocukta ise lökosit sayısında azalma ve diyare görülmüştür.</w:t>
      </w:r>
    </w:p>
    <w:p w:rsidR="00FA40FF" w:rsidRPr="004B3EB9" w:rsidRDefault="00FA40FF"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5.</w:t>
      </w:r>
      <w:r w:rsidR="00791617" w:rsidRPr="004B3EB9">
        <w:rPr>
          <w:rFonts w:ascii="Times New Roman" w:hAnsi="Times New Roman"/>
          <w:b/>
          <w:bCs/>
          <w:sz w:val="24"/>
          <w:szCs w:val="24"/>
        </w:rPr>
        <w:t xml:space="preserve"> </w:t>
      </w:r>
      <w:r w:rsidRPr="004B3EB9">
        <w:rPr>
          <w:rFonts w:ascii="Times New Roman" w:hAnsi="Times New Roman"/>
          <w:b/>
          <w:bCs/>
          <w:sz w:val="24"/>
          <w:szCs w:val="24"/>
        </w:rPr>
        <w:t>Farmakolojik özellikler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5.1.</w:t>
      </w:r>
      <w:r w:rsidR="00791617" w:rsidRPr="004B3EB9">
        <w:rPr>
          <w:rFonts w:ascii="Times New Roman" w:hAnsi="Times New Roman"/>
          <w:b/>
          <w:bCs/>
          <w:sz w:val="24"/>
          <w:szCs w:val="24"/>
        </w:rPr>
        <w:t xml:space="preserve"> </w:t>
      </w:r>
      <w:r w:rsidRPr="004B3EB9">
        <w:rPr>
          <w:rFonts w:ascii="Times New Roman" w:hAnsi="Times New Roman"/>
          <w:b/>
          <w:bCs/>
          <w:sz w:val="24"/>
          <w:szCs w:val="24"/>
        </w:rPr>
        <w:t>Farmakodinamik özellikler</w:t>
      </w:r>
    </w:p>
    <w:p w:rsidR="00FE4E94"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Farmakoterapötik grup: </w:t>
      </w:r>
      <w:r w:rsidR="00FE4E94" w:rsidRPr="004B3EB9">
        <w:rPr>
          <w:rFonts w:ascii="Times New Roman" w:hAnsi="Times New Roman"/>
          <w:sz w:val="24"/>
          <w:szCs w:val="24"/>
        </w:rPr>
        <w:t>P</w:t>
      </w:r>
      <w:r w:rsidRPr="004B3EB9">
        <w:rPr>
          <w:rFonts w:ascii="Times New Roman" w:hAnsi="Times New Roman"/>
          <w:sz w:val="24"/>
          <w:szCs w:val="24"/>
        </w:rPr>
        <w:t xml:space="preserve">rotein-tirozin kinaz inhibitörü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ATC kod</w:t>
      </w:r>
      <w:r w:rsidR="00424386" w:rsidRPr="004B3EB9">
        <w:rPr>
          <w:rFonts w:ascii="Times New Roman" w:hAnsi="Times New Roman"/>
          <w:sz w:val="24"/>
          <w:szCs w:val="24"/>
        </w:rPr>
        <w:t>u: L</w:t>
      </w:r>
      <w:r w:rsidR="00141666" w:rsidRPr="004B3EB9">
        <w:rPr>
          <w:rFonts w:ascii="Times New Roman" w:hAnsi="Times New Roman"/>
          <w:sz w:val="24"/>
          <w:szCs w:val="24"/>
        </w:rPr>
        <w:t>O</w:t>
      </w:r>
      <w:r w:rsidR="00FE4E94" w:rsidRPr="004B3EB9">
        <w:rPr>
          <w:rFonts w:ascii="Times New Roman" w:hAnsi="Times New Roman"/>
          <w:sz w:val="24"/>
          <w:szCs w:val="24"/>
        </w:rPr>
        <w:t>1</w:t>
      </w:r>
      <w:r w:rsidRPr="004B3EB9">
        <w:rPr>
          <w:rFonts w:ascii="Times New Roman" w:hAnsi="Times New Roman"/>
          <w:sz w:val="24"/>
          <w:szCs w:val="24"/>
        </w:rPr>
        <w:t>XE01</w:t>
      </w:r>
    </w:p>
    <w:p w:rsidR="005739A4" w:rsidRDefault="005739A4" w:rsidP="00C86B5D">
      <w:pPr>
        <w:spacing w:after="0"/>
        <w:jc w:val="both"/>
        <w:rPr>
          <w:rFonts w:ascii="Times New Roman" w:hAnsi="Times New Roman"/>
          <w:sz w:val="24"/>
          <w:szCs w:val="24"/>
        </w:rPr>
      </w:pPr>
    </w:p>
    <w:p w:rsidR="006D0D7A" w:rsidRDefault="006D0D7A" w:rsidP="00C86B5D">
      <w:pPr>
        <w:spacing w:after="0"/>
        <w:jc w:val="both"/>
        <w:rPr>
          <w:rFonts w:ascii="Times New Roman" w:hAnsi="Times New Roman"/>
          <w:sz w:val="24"/>
          <w:szCs w:val="24"/>
        </w:rPr>
      </w:pPr>
      <w:r>
        <w:rPr>
          <w:rFonts w:ascii="Times New Roman" w:hAnsi="Times New Roman"/>
          <w:sz w:val="24"/>
          <w:szCs w:val="24"/>
        </w:rPr>
        <w:t>Etki mekanizması:</w:t>
      </w:r>
    </w:p>
    <w:p w:rsidR="006D0D7A" w:rsidRDefault="006D0D7A" w:rsidP="00C86B5D">
      <w:pPr>
        <w:spacing w:after="0"/>
        <w:jc w:val="both"/>
        <w:rPr>
          <w:rFonts w:ascii="Times New Roman" w:hAnsi="Times New Roman"/>
          <w:sz w:val="24"/>
          <w:szCs w:val="24"/>
        </w:rPr>
      </w:pPr>
      <w:proofErr w:type="gramStart"/>
      <w:r>
        <w:rPr>
          <w:rFonts w:ascii="Times New Roman" w:hAnsi="Times New Roman"/>
          <w:sz w:val="24"/>
          <w:szCs w:val="24"/>
        </w:rPr>
        <w:t>İmatinib küçük bir molekül yapısına sahip bir protein-tirozin kinaz inhibitörüdür; Bcr-Abl tirozin kinaz (TK) aktivitesini ve birçok reseptör TK’yı kuvvetli bir şekilde inhibe etmektedir: Kit, c-Kit proto-</w:t>
      </w:r>
      <w:r w:rsidR="001B43EA">
        <w:rPr>
          <w:rFonts w:ascii="Times New Roman" w:hAnsi="Times New Roman"/>
          <w:sz w:val="24"/>
          <w:szCs w:val="24"/>
        </w:rPr>
        <w:t>o</w:t>
      </w:r>
      <w:r w:rsidR="00A91A83">
        <w:rPr>
          <w:rFonts w:ascii="Times New Roman" w:hAnsi="Times New Roman"/>
          <w:sz w:val="24"/>
          <w:szCs w:val="24"/>
        </w:rPr>
        <w:t>n</w:t>
      </w:r>
      <w:r>
        <w:rPr>
          <w:rFonts w:ascii="Times New Roman" w:hAnsi="Times New Roman"/>
          <w:sz w:val="24"/>
          <w:szCs w:val="24"/>
        </w:rPr>
        <w:t xml:space="preserve">kogen tarafından kodlanan kök hücre faktörü (SCF) reseptörü, diskoidin domen reseptörleri (DDR1 ve DDR2), koloni uyarıcı faktör reseptörü (CSF-1R), trombosit kökenli büyüme faktörü reseptörleri alfa ve beta (PDGFR-alfa ve PDGFR-beta). </w:t>
      </w:r>
      <w:proofErr w:type="gramEnd"/>
      <w:r>
        <w:rPr>
          <w:rFonts w:ascii="Times New Roman" w:hAnsi="Times New Roman"/>
          <w:sz w:val="24"/>
          <w:szCs w:val="24"/>
        </w:rPr>
        <w:t>İmatinib aynı zamanda bu reseptör kinazların aktivasyonunun aracılık ettiği hücresel olayları da inhibe edebilmektedir.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İmatinib, in vitro, hücresel ve in vivo düzeylerde kı</w:t>
      </w:r>
      <w:r w:rsidR="00FE4E94" w:rsidRPr="004B3EB9">
        <w:rPr>
          <w:rFonts w:ascii="Times New Roman" w:hAnsi="Times New Roman"/>
          <w:sz w:val="24"/>
          <w:szCs w:val="24"/>
        </w:rPr>
        <w:t>rı</w:t>
      </w:r>
      <w:r w:rsidRPr="004B3EB9">
        <w:rPr>
          <w:rFonts w:ascii="Times New Roman" w:hAnsi="Times New Roman"/>
          <w:sz w:val="24"/>
          <w:szCs w:val="24"/>
        </w:rPr>
        <w:t xml:space="preserve">lma noktalarının yoğunlaştığı bölge-Abelson (Bcr-Abl) tirozin kinazı güçlü bir şekilde inhibe eden bir protein-tirozin kinaz inhibitörüdür. Bileşik, Bcr-Abl pozitif hücre dizilerinde, Philadelphia kromozom pozitif Kronik Miyeloid Lösemi (KML) hastalarının yeni lösemi hücrelerinde selektif olarak proliferasyonu inhibe etmekte ve apopitozisi uyarmaktadır. Ex vivo periferik kan ve kemik iliği örneklerinin kullanıldığı koloni </w:t>
      </w:r>
      <w:proofErr w:type="gramStart"/>
      <w:r w:rsidRPr="004B3EB9">
        <w:rPr>
          <w:rFonts w:ascii="Times New Roman" w:hAnsi="Times New Roman"/>
          <w:sz w:val="24"/>
          <w:szCs w:val="24"/>
        </w:rPr>
        <w:t>transformasyon</w:t>
      </w:r>
      <w:proofErr w:type="gramEnd"/>
      <w:r w:rsidRPr="004B3EB9">
        <w:rPr>
          <w:rFonts w:ascii="Times New Roman" w:hAnsi="Times New Roman"/>
          <w:sz w:val="24"/>
          <w:szCs w:val="24"/>
        </w:rPr>
        <w:t xml:space="preserve"> tah</w:t>
      </w:r>
      <w:r w:rsidR="00424386" w:rsidRPr="004B3EB9">
        <w:rPr>
          <w:rFonts w:ascii="Times New Roman" w:hAnsi="Times New Roman"/>
          <w:sz w:val="24"/>
          <w:szCs w:val="24"/>
        </w:rPr>
        <w:t>lill</w:t>
      </w:r>
      <w:r w:rsidRPr="004B3EB9">
        <w:rPr>
          <w:rFonts w:ascii="Times New Roman" w:hAnsi="Times New Roman"/>
          <w:sz w:val="24"/>
          <w:szCs w:val="24"/>
        </w:rPr>
        <w:t xml:space="preserve">erinde, imatinib KML </w:t>
      </w:r>
      <w:r w:rsidR="009E236D" w:rsidRPr="004B3EB9">
        <w:rPr>
          <w:rFonts w:ascii="Times New Roman" w:hAnsi="Times New Roman"/>
          <w:sz w:val="24"/>
          <w:szCs w:val="24"/>
        </w:rPr>
        <w:t>hastaların</w:t>
      </w:r>
      <w:r w:rsidRPr="004B3EB9">
        <w:rPr>
          <w:rFonts w:ascii="Times New Roman" w:hAnsi="Times New Roman"/>
          <w:sz w:val="24"/>
          <w:szCs w:val="24"/>
        </w:rPr>
        <w:t>daki Bcr-Abl pozitif kolonilerde selektif inhibisyon göstermektedir.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Bileşik </w:t>
      </w:r>
      <w:r w:rsidRPr="004B3EB9">
        <w:rPr>
          <w:rFonts w:ascii="Times New Roman" w:hAnsi="Times New Roman"/>
          <w:i/>
          <w:iCs/>
          <w:sz w:val="24"/>
          <w:szCs w:val="24"/>
        </w:rPr>
        <w:t xml:space="preserve">in vivo </w:t>
      </w:r>
      <w:r w:rsidRPr="004B3EB9">
        <w:rPr>
          <w:rFonts w:ascii="Times New Roman" w:hAnsi="Times New Roman"/>
          <w:sz w:val="24"/>
          <w:szCs w:val="24"/>
        </w:rPr>
        <w:t>olarak, Bcr-Abl pozitif tümör hücreleri kullanılan hayvan modellerinde tek ajan olarak anti-tümör aktivite gösterir.</w:t>
      </w:r>
    </w:p>
    <w:p w:rsidR="009E2CA6" w:rsidRPr="004B3EB9" w:rsidRDefault="00A91F46" w:rsidP="00C86B5D">
      <w:pPr>
        <w:spacing w:after="0"/>
        <w:jc w:val="both"/>
        <w:rPr>
          <w:rFonts w:ascii="Times New Roman" w:hAnsi="Times New Roman"/>
          <w:b/>
          <w:bCs/>
          <w:sz w:val="24"/>
          <w:szCs w:val="24"/>
        </w:rPr>
      </w:pPr>
      <w:r>
        <w:rPr>
          <w:rFonts w:ascii="Times New Roman" w:hAnsi="Times New Roman"/>
          <w:b/>
          <w:bCs/>
          <w:sz w:val="24"/>
          <w:szCs w:val="24"/>
        </w:rPr>
        <w:t xml:space="preserve">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Kronik Miyeloid Lösemide Klinik Çalışmalar</w:t>
      </w:r>
    </w:p>
    <w:p w:rsidR="00396DF1" w:rsidRPr="004B3EB9" w:rsidRDefault="00424386" w:rsidP="00C86B5D">
      <w:pPr>
        <w:spacing w:after="0"/>
        <w:jc w:val="both"/>
        <w:rPr>
          <w:rFonts w:ascii="Times New Roman" w:hAnsi="Times New Roman"/>
          <w:sz w:val="24"/>
          <w:szCs w:val="24"/>
        </w:rPr>
      </w:pPr>
      <w:r w:rsidRPr="004B3EB9">
        <w:rPr>
          <w:rFonts w:ascii="Times New Roman" w:hAnsi="Times New Roman"/>
          <w:sz w:val="24"/>
          <w:szCs w:val="24"/>
        </w:rPr>
        <w:t>İmatinib</w:t>
      </w:r>
      <w:r w:rsidR="00FE4E94" w:rsidRPr="004B3EB9">
        <w:rPr>
          <w:rFonts w:ascii="Times New Roman" w:hAnsi="Times New Roman"/>
          <w:sz w:val="24"/>
          <w:szCs w:val="24"/>
        </w:rPr>
        <w:t>in etkinli</w:t>
      </w:r>
      <w:r w:rsidR="00396DF1" w:rsidRPr="004B3EB9">
        <w:rPr>
          <w:rFonts w:ascii="Times New Roman" w:hAnsi="Times New Roman"/>
          <w:sz w:val="24"/>
          <w:szCs w:val="24"/>
        </w:rPr>
        <w:t>ği, bir bütün olarak elde edilen hematolojik ve sitogenetik ya</w:t>
      </w:r>
      <w:r w:rsidR="00FE4E94" w:rsidRPr="004B3EB9">
        <w:rPr>
          <w:rFonts w:ascii="Times New Roman" w:hAnsi="Times New Roman"/>
          <w:sz w:val="24"/>
          <w:szCs w:val="24"/>
        </w:rPr>
        <w:t>nı</w:t>
      </w:r>
      <w:r w:rsidR="00396DF1" w:rsidRPr="004B3EB9">
        <w:rPr>
          <w:rFonts w:ascii="Times New Roman" w:hAnsi="Times New Roman"/>
          <w:sz w:val="24"/>
          <w:szCs w:val="24"/>
        </w:rPr>
        <w:t xml:space="preserve">t </w:t>
      </w:r>
      <w:r w:rsidR="00791617" w:rsidRPr="004B3EB9">
        <w:rPr>
          <w:rFonts w:ascii="Times New Roman" w:hAnsi="Times New Roman"/>
          <w:sz w:val="24"/>
          <w:szCs w:val="24"/>
        </w:rPr>
        <w:t>oranları</w:t>
      </w:r>
      <w:r w:rsidR="00396DF1" w:rsidRPr="004B3EB9">
        <w:rPr>
          <w:rFonts w:ascii="Times New Roman" w:hAnsi="Times New Roman"/>
          <w:sz w:val="24"/>
          <w:szCs w:val="24"/>
        </w:rPr>
        <w:t>nı ve hasta</w:t>
      </w:r>
      <w:r w:rsidR="00FE4E94" w:rsidRPr="004B3EB9">
        <w:rPr>
          <w:rFonts w:ascii="Times New Roman" w:hAnsi="Times New Roman"/>
          <w:sz w:val="24"/>
          <w:szCs w:val="24"/>
        </w:rPr>
        <w:t>lı</w:t>
      </w:r>
      <w:r w:rsidR="00396DF1" w:rsidRPr="004B3EB9">
        <w:rPr>
          <w:rFonts w:ascii="Times New Roman" w:hAnsi="Times New Roman"/>
          <w:sz w:val="24"/>
          <w:szCs w:val="24"/>
        </w:rPr>
        <w:t>ksız sağkal</w:t>
      </w:r>
      <w:r w:rsidRPr="004B3EB9">
        <w:rPr>
          <w:rFonts w:ascii="Times New Roman" w:hAnsi="Times New Roman"/>
          <w:sz w:val="24"/>
          <w:szCs w:val="24"/>
        </w:rPr>
        <w:t>ım süresini temel alır.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Bütün klinik çalışmalarda </w:t>
      </w:r>
      <w:r w:rsidR="009E236D" w:rsidRPr="004B3EB9">
        <w:rPr>
          <w:rFonts w:ascii="Times New Roman" w:hAnsi="Times New Roman"/>
          <w:sz w:val="24"/>
          <w:szCs w:val="24"/>
        </w:rPr>
        <w:t>hastaların</w:t>
      </w:r>
      <w:r w:rsidRPr="004B3EB9">
        <w:rPr>
          <w:rFonts w:ascii="Times New Roman" w:hAnsi="Times New Roman"/>
          <w:sz w:val="24"/>
          <w:szCs w:val="24"/>
        </w:rPr>
        <w:t xml:space="preserve"> %38-40</w:t>
      </w:r>
      <w:r w:rsidR="00F54064">
        <w:rPr>
          <w:rFonts w:ascii="Times New Roman" w:hAnsi="Times New Roman"/>
          <w:sz w:val="24"/>
          <w:szCs w:val="24"/>
        </w:rPr>
        <w:t>’</w:t>
      </w:r>
      <w:r w:rsidRPr="004B3EB9">
        <w:rPr>
          <w:rFonts w:ascii="Times New Roman" w:hAnsi="Times New Roman"/>
          <w:sz w:val="24"/>
          <w:szCs w:val="24"/>
        </w:rPr>
        <w:t>ı</w:t>
      </w:r>
      <w:r w:rsidR="00424386" w:rsidRPr="004B3EB9">
        <w:rPr>
          <w:rFonts w:ascii="Times New Roman" w:hAnsi="Times New Roman"/>
          <w:sz w:val="24"/>
          <w:szCs w:val="24"/>
        </w:rPr>
        <w:t>nı</w:t>
      </w:r>
      <w:r w:rsidRPr="004B3EB9">
        <w:rPr>
          <w:rFonts w:ascii="Times New Roman" w:hAnsi="Times New Roman"/>
          <w:sz w:val="24"/>
          <w:szCs w:val="24"/>
        </w:rPr>
        <w:t>n en az 60, %10-12</w:t>
      </w:r>
      <w:r w:rsidR="00F54064">
        <w:rPr>
          <w:rFonts w:ascii="Times New Roman" w:hAnsi="Times New Roman"/>
          <w:sz w:val="24"/>
          <w:szCs w:val="24"/>
        </w:rPr>
        <w:t>’</w:t>
      </w:r>
      <w:r w:rsidRPr="004B3EB9">
        <w:rPr>
          <w:rFonts w:ascii="Times New Roman" w:hAnsi="Times New Roman"/>
          <w:sz w:val="24"/>
          <w:szCs w:val="24"/>
        </w:rPr>
        <w:t>sinin en az 70 yaş</w:t>
      </w:r>
      <w:r w:rsidR="00FE4E94" w:rsidRPr="004B3EB9">
        <w:rPr>
          <w:rFonts w:ascii="Times New Roman" w:hAnsi="Times New Roman"/>
          <w:sz w:val="24"/>
          <w:szCs w:val="24"/>
        </w:rPr>
        <w:t>ın</w:t>
      </w:r>
      <w:r w:rsidRPr="004B3EB9">
        <w:rPr>
          <w:rFonts w:ascii="Times New Roman" w:hAnsi="Times New Roman"/>
          <w:sz w:val="24"/>
          <w:szCs w:val="24"/>
        </w:rPr>
        <w:t>da olduğu bildirilmiştir.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i/>
          <w:iCs/>
          <w:sz w:val="24"/>
          <w:szCs w:val="24"/>
        </w:rPr>
        <w:t xml:space="preserve">Kronik faz, yeni tanı konulmuş: </w:t>
      </w:r>
      <w:r w:rsidRPr="004B3EB9">
        <w:rPr>
          <w:rFonts w:ascii="Times New Roman" w:hAnsi="Times New Roman"/>
          <w:sz w:val="24"/>
          <w:szCs w:val="24"/>
        </w:rPr>
        <w:t xml:space="preserve">Bu faz </w:t>
      </w:r>
      <w:r w:rsidRPr="004B3EB9">
        <w:rPr>
          <w:rFonts w:ascii="Times New Roman" w:hAnsi="Times New Roman"/>
          <w:sz w:val="24"/>
          <w:szCs w:val="24"/>
          <w:lang w:val="en-US"/>
        </w:rPr>
        <w:t xml:space="preserve">III </w:t>
      </w:r>
      <w:r w:rsidR="00594F00" w:rsidRPr="004B3EB9">
        <w:rPr>
          <w:rFonts w:ascii="Times New Roman" w:hAnsi="Times New Roman"/>
          <w:sz w:val="24"/>
          <w:szCs w:val="24"/>
        </w:rPr>
        <w:t>çalışma</w:t>
      </w:r>
      <w:r w:rsidRPr="004B3EB9">
        <w:rPr>
          <w:rFonts w:ascii="Times New Roman" w:hAnsi="Times New Roman"/>
          <w:sz w:val="24"/>
          <w:szCs w:val="24"/>
        </w:rPr>
        <w:t xml:space="preserve">sında,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monoterapisi, interferon-alfa (IFN) + sitarabin (ARA-C) </w:t>
      </w:r>
      <w:proofErr w:type="gramStart"/>
      <w:r w:rsidRPr="004B3EB9">
        <w:rPr>
          <w:rFonts w:ascii="Times New Roman" w:hAnsi="Times New Roman"/>
          <w:sz w:val="24"/>
          <w:szCs w:val="24"/>
        </w:rPr>
        <w:t>kombinas</w:t>
      </w:r>
      <w:r w:rsidR="00FE4E94" w:rsidRPr="004B3EB9">
        <w:rPr>
          <w:rFonts w:ascii="Times New Roman" w:hAnsi="Times New Roman"/>
          <w:sz w:val="24"/>
          <w:szCs w:val="24"/>
        </w:rPr>
        <w:t>yonuyla</w:t>
      </w:r>
      <w:proofErr w:type="gramEnd"/>
      <w:r w:rsidR="00FE4E94" w:rsidRPr="004B3EB9">
        <w:rPr>
          <w:rFonts w:ascii="Times New Roman" w:hAnsi="Times New Roman"/>
          <w:sz w:val="24"/>
          <w:szCs w:val="24"/>
        </w:rPr>
        <w:t xml:space="preserve"> karşılaştırılmıştır. Kullanı</w:t>
      </w:r>
      <w:r w:rsidRPr="004B3EB9">
        <w:rPr>
          <w:rFonts w:ascii="Times New Roman" w:hAnsi="Times New Roman"/>
          <w:sz w:val="24"/>
          <w:szCs w:val="24"/>
        </w:rPr>
        <w:t xml:space="preserve">lan tedaviye yanıt vermeyen </w:t>
      </w:r>
      <w:r w:rsidR="009E236D" w:rsidRPr="004B3EB9">
        <w:rPr>
          <w:rFonts w:ascii="Times New Roman" w:hAnsi="Times New Roman"/>
          <w:sz w:val="24"/>
          <w:szCs w:val="24"/>
        </w:rPr>
        <w:t>hastaların</w:t>
      </w:r>
      <w:r w:rsidRPr="004B3EB9">
        <w:rPr>
          <w:rFonts w:ascii="Times New Roman" w:hAnsi="Times New Roman"/>
          <w:sz w:val="24"/>
          <w:szCs w:val="24"/>
        </w:rPr>
        <w:t>, ku</w:t>
      </w:r>
      <w:r w:rsidR="00FE4E94" w:rsidRPr="004B3EB9">
        <w:rPr>
          <w:rFonts w:ascii="Times New Roman" w:hAnsi="Times New Roman"/>
          <w:sz w:val="24"/>
          <w:szCs w:val="24"/>
        </w:rPr>
        <w:t>llandıkları</w:t>
      </w:r>
      <w:r w:rsidRPr="004B3EB9">
        <w:rPr>
          <w:rFonts w:ascii="Times New Roman" w:hAnsi="Times New Roman"/>
          <w:sz w:val="24"/>
          <w:szCs w:val="24"/>
        </w:rPr>
        <w:t xml:space="preserve"> tedaviyi bırakarak diğer tedaviyi kullanmalarına izin verilmiştir. </w:t>
      </w:r>
      <w:r w:rsidR="009E236D"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grubundaki hastalarda günde 400 mi</w:t>
      </w:r>
      <w:r w:rsidR="00FE4E94" w:rsidRPr="004B3EB9">
        <w:rPr>
          <w:rFonts w:ascii="Times New Roman" w:hAnsi="Times New Roman"/>
          <w:sz w:val="24"/>
          <w:szCs w:val="24"/>
        </w:rPr>
        <w:t>ligramlı</w:t>
      </w:r>
      <w:r w:rsidRPr="004B3EB9">
        <w:rPr>
          <w:rFonts w:ascii="Times New Roman" w:hAnsi="Times New Roman"/>
          <w:sz w:val="24"/>
          <w:szCs w:val="24"/>
        </w:rPr>
        <w:t>k doz kullanılmıştır. IFN grubundaki hastalar, hedef alınan günlük subkütan IFN dozu 5 MIU/m</w:t>
      </w:r>
      <w:r w:rsidRPr="004B3EB9">
        <w:rPr>
          <w:rFonts w:ascii="Times New Roman" w:hAnsi="Times New Roman"/>
          <w:sz w:val="24"/>
          <w:szCs w:val="24"/>
          <w:vertAlign w:val="superscript"/>
        </w:rPr>
        <w:t>2</w:t>
      </w:r>
      <w:r w:rsidRPr="004B3EB9">
        <w:rPr>
          <w:rFonts w:ascii="Times New Roman" w:hAnsi="Times New Roman"/>
          <w:sz w:val="24"/>
          <w:szCs w:val="24"/>
        </w:rPr>
        <w:t xml:space="preserve"> + her ayın 10 günü, günde 20 mg/m</w:t>
      </w:r>
      <w:r w:rsidRPr="004B3EB9">
        <w:rPr>
          <w:rFonts w:ascii="Times New Roman" w:hAnsi="Times New Roman"/>
          <w:sz w:val="24"/>
          <w:szCs w:val="24"/>
          <w:vertAlign w:val="superscript"/>
        </w:rPr>
        <w:t>2</w:t>
      </w:r>
      <w:r w:rsidRPr="004B3EB9">
        <w:rPr>
          <w:rFonts w:ascii="Times New Roman" w:hAnsi="Times New Roman"/>
          <w:sz w:val="24"/>
          <w:szCs w:val="24"/>
        </w:rPr>
        <w:t xml:space="preserve"> Ara-C </w:t>
      </w:r>
      <w:proofErr w:type="gramStart"/>
      <w:r w:rsidRPr="004B3EB9">
        <w:rPr>
          <w:rFonts w:ascii="Times New Roman" w:hAnsi="Times New Roman"/>
          <w:sz w:val="24"/>
          <w:szCs w:val="24"/>
        </w:rPr>
        <w:t>kombinasyonu</w:t>
      </w:r>
      <w:proofErr w:type="gramEnd"/>
      <w:r w:rsidRPr="004B3EB9">
        <w:rPr>
          <w:rFonts w:ascii="Times New Roman" w:hAnsi="Times New Roman"/>
          <w:sz w:val="24"/>
          <w:szCs w:val="24"/>
        </w:rPr>
        <w:t xml:space="preserve"> kullanmıştır.</w:t>
      </w:r>
    </w:p>
    <w:p w:rsidR="00424386"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16 ülkedeki 177 ça</w:t>
      </w:r>
      <w:r w:rsidR="00FE4E94" w:rsidRPr="004B3EB9">
        <w:rPr>
          <w:rFonts w:ascii="Times New Roman" w:hAnsi="Times New Roman"/>
          <w:sz w:val="24"/>
          <w:szCs w:val="24"/>
        </w:rPr>
        <w:t>lı</w:t>
      </w:r>
      <w:r w:rsidRPr="004B3EB9">
        <w:rPr>
          <w:rFonts w:ascii="Times New Roman" w:hAnsi="Times New Roman"/>
          <w:sz w:val="24"/>
          <w:szCs w:val="24"/>
        </w:rPr>
        <w:t xml:space="preserve">şma merkezinden toplam 1106 (her grupta 553) hasta, randomize edilmiştir. Yaşları 18-70 arasında değişmek üzere medyan 51 olan </w:t>
      </w:r>
      <w:r w:rsidR="009E236D" w:rsidRPr="004B3EB9">
        <w:rPr>
          <w:rFonts w:ascii="Times New Roman" w:hAnsi="Times New Roman"/>
          <w:sz w:val="24"/>
          <w:szCs w:val="24"/>
        </w:rPr>
        <w:t>hastaların</w:t>
      </w:r>
      <w:r w:rsidRPr="004B3EB9">
        <w:rPr>
          <w:rFonts w:ascii="Times New Roman" w:hAnsi="Times New Roman"/>
          <w:sz w:val="24"/>
          <w:szCs w:val="24"/>
        </w:rPr>
        <w:t xml:space="preserve"> %</w:t>
      </w:r>
      <w:proofErr w:type="gramStart"/>
      <w:r w:rsidRPr="004B3EB9">
        <w:rPr>
          <w:rFonts w:ascii="Times New Roman" w:hAnsi="Times New Roman"/>
          <w:sz w:val="24"/>
          <w:szCs w:val="24"/>
        </w:rPr>
        <w:t>21.9</w:t>
      </w:r>
      <w:r w:rsidR="00F54064">
        <w:rPr>
          <w:rFonts w:ascii="Times New Roman" w:hAnsi="Times New Roman"/>
          <w:sz w:val="24"/>
          <w:szCs w:val="24"/>
        </w:rPr>
        <w:t>’</w:t>
      </w:r>
      <w:r w:rsidRPr="004B3EB9">
        <w:rPr>
          <w:rFonts w:ascii="Times New Roman" w:hAnsi="Times New Roman"/>
          <w:sz w:val="24"/>
          <w:szCs w:val="24"/>
        </w:rPr>
        <w:t>unun</w:t>
      </w:r>
      <w:proofErr w:type="gramEnd"/>
      <w:r w:rsidRPr="004B3EB9">
        <w:rPr>
          <w:rFonts w:ascii="Times New Roman" w:hAnsi="Times New Roman"/>
          <w:sz w:val="24"/>
          <w:szCs w:val="24"/>
        </w:rPr>
        <w:t>, 60 yaş</w:t>
      </w:r>
      <w:r w:rsidR="00FE4E94" w:rsidRPr="004B3EB9">
        <w:rPr>
          <w:rFonts w:ascii="Times New Roman" w:hAnsi="Times New Roman"/>
          <w:sz w:val="24"/>
          <w:szCs w:val="24"/>
        </w:rPr>
        <w:t>ın</w:t>
      </w:r>
      <w:r w:rsidRPr="004B3EB9">
        <w:rPr>
          <w:rFonts w:ascii="Times New Roman" w:hAnsi="Times New Roman"/>
          <w:sz w:val="24"/>
          <w:szCs w:val="24"/>
        </w:rPr>
        <w:t>da ya da daha ileri yaşta olduğu görülmüştür. Verilerin bu ana</w:t>
      </w:r>
      <w:r w:rsidR="00FE4E94" w:rsidRPr="004B3EB9">
        <w:rPr>
          <w:rFonts w:ascii="Times New Roman" w:hAnsi="Times New Roman"/>
          <w:sz w:val="24"/>
          <w:szCs w:val="24"/>
        </w:rPr>
        <w:t>li</w:t>
      </w:r>
      <w:r w:rsidRPr="004B3EB9">
        <w:rPr>
          <w:rFonts w:ascii="Times New Roman" w:hAnsi="Times New Roman"/>
          <w:sz w:val="24"/>
          <w:szCs w:val="24"/>
        </w:rPr>
        <w:t xml:space="preserve">zde kullanılmak üzere derlendiği sıradaki (son hastanın kaydedilmesinden 7 yıl sonra) medyan ilk seçenek tedavi süresi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grubunda 82, IFN (</w:t>
      </w:r>
      <w:proofErr w:type="gramStart"/>
      <w:r w:rsidRPr="004B3EB9">
        <w:rPr>
          <w:rFonts w:ascii="Times New Roman" w:hAnsi="Times New Roman"/>
          <w:sz w:val="24"/>
          <w:szCs w:val="24"/>
        </w:rPr>
        <w:t>kombinasyon</w:t>
      </w:r>
      <w:proofErr w:type="gramEnd"/>
      <w:r w:rsidRPr="004B3EB9">
        <w:rPr>
          <w:rFonts w:ascii="Times New Roman" w:hAnsi="Times New Roman"/>
          <w:sz w:val="24"/>
          <w:szCs w:val="24"/>
        </w:rPr>
        <w:t xml:space="preserve">) grubunda 8 aydır. </w:t>
      </w:r>
      <w:r w:rsidR="00FE4E94" w:rsidRPr="004B3EB9">
        <w:rPr>
          <w:rFonts w:ascii="Times New Roman" w:hAnsi="Times New Roman"/>
          <w:sz w:val="24"/>
          <w:szCs w:val="24"/>
        </w:rPr>
        <w:t>İmatinib</w:t>
      </w:r>
      <w:r w:rsidRPr="004B3EB9">
        <w:rPr>
          <w:rFonts w:ascii="Times New Roman" w:hAnsi="Times New Roman"/>
          <w:sz w:val="24"/>
          <w:szCs w:val="24"/>
        </w:rPr>
        <w:t xml:space="preserve"> ile medyan ikinci seçenek tedavi süresi 64 aydır. </w:t>
      </w:r>
      <w:r w:rsidR="00FE4E94" w:rsidRPr="004B3EB9">
        <w:rPr>
          <w:rFonts w:ascii="Times New Roman" w:hAnsi="Times New Roman"/>
          <w:sz w:val="24"/>
          <w:szCs w:val="24"/>
        </w:rPr>
        <w:t>İmatinib</w:t>
      </w:r>
      <w:r w:rsidRPr="004B3EB9">
        <w:rPr>
          <w:rFonts w:ascii="Times New Roman" w:hAnsi="Times New Roman"/>
          <w:sz w:val="24"/>
          <w:szCs w:val="24"/>
        </w:rPr>
        <w:t xml:space="preserve"> grubuna ayrılmış olan </w:t>
      </w:r>
      <w:r w:rsidR="009E236D" w:rsidRPr="004B3EB9">
        <w:rPr>
          <w:rFonts w:ascii="Times New Roman" w:hAnsi="Times New Roman"/>
          <w:sz w:val="24"/>
          <w:szCs w:val="24"/>
        </w:rPr>
        <w:t>hastaların</w:t>
      </w:r>
      <w:r w:rsidRPr="004B3EB9">
        <w:rPr>
          <w:rFonts w:ascii="Times New Roman" w:hAnsi="Times New Roman"/>
          <w:sz w:val="24"/>
          <w:szCs w:val="24"/>
        </w:rPr>
        <w:t xml:space="preserve"> % 60</w:t>
      </w:r>
      <w:r w:rsidR="00F54064">
        <w:rPr>
          <w:rFonts w:ascii="Times New Roman" w:hAnsi="Times New Roman"/>
          <w:sz w:val="24"/>
          <w:szCs w:val="24"/>
        </w:rPr>
        <w:t>’</w:t>
      </w:r>
      <w:r w:rsidRPr="004B3EB9">
        <w:rPr>
          <w:rFonts w:ascii="Times New Roman" w:hAnsi="Times New Roman"/>
          <w:sz w:val="24"/>
          <w:szCs w:val="24"/>
        </w:rPr>
        <w:t>ı, başlangıçta kullandıkla</w:t>
      </w:r>
      <w:r w:rsidR="00FE4E94" w:rsidRPr="004B3EB9">
        <w:rPr>
          <w:rFonts w:ascii="Times New Roman" w:hAnsi="Times New Roman"/>
          <w:sz w:val="24"/>
          <w:szCs w:val="24"/>
        </w:rPr>
        <w:t>rı</w:t>
      </w:r>
      <w:r w:rsidRPr="004B3EB9">
        <w:rPr>
          <w:rFonts w:ascii="Times New Roman" w:hAnsi="Times New Roman"/>
          <w:sz w:val="24"/>
          <w:szCs w:val="24"/>
        </w:rPr>
        <w:t xml:space="preserve"> ilaca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devam etmektedir. Bu hastalarda ortalama </w:t>
      </w:r>
      <w:r w:rsidR="00424386" w:rsidRPr="004B3EB9">
        <w:rPr>
          <w:rFonts w:ascii="Times New Roman" w:hAnsi="Times New Roman"/>
          <w:sz w:val="24"/>
          <w:szCs w:val="24"/>
        </w:rPr>
        <w:t>i</w:t>
      </w:r>
      <w:r w:rsidR="00FE4E94" w:rsidRPr="004B3EB9">
        <w:rPr>
          <w:rFonts w:ascii="Times New Roman" w:hAnsi="Times New Roman"/>
          <w:sz w:val="24"/>
          <w:szCs w:val="24"/>
        </w:rPr>
        <w:t xml:space="preserve">matinib </w:t>
      </w:r>
      <w:r w:rsidRPr="004B3EB9">
        <w:rPr>
          <w:rFonts w:ascii="Times New Roman" w:hAnsi="Times New Roman"/>
          <w:sz w:val="24"/>
          <w:szCs w:val="24"/>
        </w:rPr>
        <w:t>dozu 403</w:t>
      </w:r>
      <w:r w:rsidR="00141666" w:rsidRPr="004B3EB9">
        <w:rPr>
          <w:rFonts w:ascii="Times New Roman" w:hAnsi="Times New Roman"/>
          <w:sz w:val="24"/>
          <w:szCs w:val="24"/>
        </w:rPr>
        <w:t>±</w:t>
      </w:r>
      <w:r w:rsidRPr="004B3EB9">
        <w:rPr>
          <w:rFonts w:ascii="Times New Roman" w:hAnsi="Times New Roman"/>
          <w:sz w:val="24"/>
          <w:szCs w:val="24"/>
        </w:rPr>
        <w:t>57 mg</w:t>
      </w:r>
      <w:r w:rsidR="00F54064">
        <w:rPr>
          <w:rFonts w:ascii="Times New Roman" w:hAnsi="Times New Roman"/>
          <w:sz w:val="24"/>
          <w:szCs w:val="24"/>
        </w:rPr>
        <w:t>’</w:t>
      </w:r>
      <w:r w:rsidRPr="004B3EB9">
        <w:rPr>
          <w:rFonts w:ascii="Times New Roman" w:hAnsi="Times New Roman"/>
          <w:sz w:val="24"/>
          <w:szCs w:val="24"/>
        </w:rPr>
        <w:t>d</w:t>
      </w:r>
      <w:r w:rsidR="00FE4E94" w:rsidRPr="004B3EB9">
        <w:rPr>
          <w:rFonts w:ascii="Times New Roman" w:hAnsi="Times New Roman"/>
          <w:sz w:val="24"/>
          <w:szCs w:val="24"/>
        </w:rPr>
        <w:t>ı</w:t>
      </w:r>
      <w:r w:rsidRPr="004B3EB9">
        <w:rPr>
          <w:rFonts w:ascii="Times New Roman" w:hAnsi="Times New Roman"/>
          <w:sz w:val="24"/>
          <w:szCs w:val="24"/>
        </w:rPr>
        <w:t xml:space="preserve">r. Genel olarak, birinci seçenek olarak </w:t>
      </w:r>
      <w:r w:rsidR="003B1BCC" w:rsidRPr="004B3EB9">
        <w:rPr>
          <w:rFonts w:ascii="Times New Roman" w:hAnsi="Times New Roman"/>
          <w:sz w:val="24"/>
          <w:szCs w:val="24"/>
        </w:rPr>
        <w:t>imatinib</w:t>
      </w:r>
      <w:r w:rsidRPr="004B3EB9">
        <w:rPr>
          <w:rFonts w:ascii="Times New Roman" w:hAnsi="Times New Roman"/>
          <w:sz w:val="24"/>
          <w:szCs w:val="24"/>
        </w:rPr>
        <w:t xml:space="preserve"> alan hastalarda dağıtılan ortalama günlük doz 406</w:t>
      </w:r>
      <w:r w:rsidR="00141666" w:rsidRPr="004B3EB9">
        <w:rPr>
          <w:rFonts w:ascii="Times New Roman" w:hAnsi="Times New Roman"/>
          <w:sz w:val="24"/>
          <w:szCs w:val="24"/>
        </w:rPr>
        <w:t>±</w:t>
      </w:r>
      <w:r w:rsidRPr="004B3EB9">
        <w:rPr>
          <w:rFonts w:ascii="Times New Roman" w:hAnsi="Times New Roman"/>
          <w:sz w:val="24"/>
          <w:szCs w:val="24"/>
        </w:rPr>
        <w:t>76 mg</w:t>
      </w:r>
      <w:r w:rsidR="00F54064">
        <w:rPr>
          <w:rFonts w:ascii="Times New Roman" w:hAnsi="Times New Roman"/>
          <w:sz w:val="24"/>
          <w:szCs w:val="24"/>
        </w:rPr>
        <w:t>’</w:t>
      </w:r>
      <w:r w:rsidRPr="004B3EB9">
        <w:rPr>
          <w:rFonts w:ascii="Times New Roman" w:hAnsi="Times New Roman"/>
          <w:sz w:val="24"/>
          <w:szCs w:val="24"/>
        </w:rPr>
        <w:t xml:space="preserve">dır. IFN + ARA-C grubundaki </w:t>
      </w:r>
      <w:r w:rsidR="009E236D" w:rsidRPr="004B3EB9">
        <w:rPr>
          <w:rFonts w:ascii="Times New Roman" w:hAnsi="Times New Roman"/>
          <w:sz w:val="24"/>
          <w:szCs w:val="24"/>
        </w:rPr>
        <w:t>hastaların</w:t>
      </w:r>
      <w:r w:rsidRPr="004B3EB9">
        <w:rPr>
          <w:rFonts w:ascii="Times New Roman" w:hAnsi="Times New Roman"/>
          <w:sz w:val="24"/>
          <w:szCs w:val="24"/>
        </w:rPr>
        <w:t xml:space="preserve"> yalnızca %2</w:t>
      </w:r>
      <w:r w:rsidR="00F54064">
        <w:rPr>
          <w:rFonts w:ascii="Times New Roman" w:hAnsi="Times New Roman"/>
          <w:sz w:val="24"/>
          <w:szCs w:val="24"/>
        </w:rPr>
        <w:t>’</w:t>
      </w:r>
      <w:r w:rsidRPr="004B3EB9">
        <w:rPr>
          <w:rFonts w:ascii="Times New Roman" w:hAnsi="Times New Roman"/>
          <w:sz w:val="24"/>
          <w:szCs w:val="24"/>
        </w:rPr>
        <w:t>si başlangıçta kullandıkla</w:t>
      </w:r>
      <w:r w:rsidR="00FE4E94" w:rsidRPr="004B3EB9">
        <w:rPr>
          <w:rFonts w:ascii="Times New Roman" w:hAnsi="Times New Roman"/>
          <w:sz w:val="24"/>
          <w:szCs w:val="24"/>
        </w:rPr>
        <w:t>rı</w:t>
      </w:r>
      <w:r w:rsidRPr="004B3EB9">
        <w:rPr>
          <w:rFonts w:ascii="Times New Roman" w:hAnsi="Times New Roman"/>
          <w:sz w:val="24"/>
          <w:szCs w:val="24"/>
        </w:rPr>
        <w:t xml:space="preserve"> tedaviye devam etmektedir. IFN + ARA-C grubunda başlangıçtaki tedaviye devam etmeyen hastalarda bunun en sık rastlanan nedeni (%14), </w:t>
      </w:r>
      <w:r w:rsidR="009E236D" w:rsidRPr="004B3EB9">
        <w:rPr>
          <w:rFonts w:ascii="Times New Roman" w:hAnsi="Times New Roman"/>
          <w:sz w:val="24"/>
          <w:szCs w:val="24"/>
        </w:rPr>
        <w:t>hastaların</w:t>
      </w:r>
      <w:r w:rsidRPr="004B3EB9">
        <w:rPr>
          <w:rFonts w:ascii="Times New Roman" w:hAnsi="Times New Roman"/>
          <w:sz w:val="24"/>
          <w:szCs w:val="24"/>
        </w:rPr>
        <w:t xml:space="preserve"> verdikleri onayı geri çekmesi;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grubuna geçenlerde ise buna en sık (</w:t>
      </w:r>
      <w:r w:rsidR="009E236D" w:rsidRPr="004B3EB9">
        <w:rPr>
          <w:rFonts w:ascii="Times New Roman" w:hAnsi="Times New Roman"/>
          <w:sz w:val="24"/>
          <w:szCs w:val="24"/>
        </w:rPr>
        <w:t>hastaların</w:t>
      </w:r>
      <w:r w:rsidRPr="004B3EB9">
        <w:rPr>
          <w:rFonts w:ascii="Times New Roman" w:hAnsi="Times New Roman"/>
          <w:sz w:val="24"/>
          <w:szCs w:val="24"/>
        </w:rPr>
        <w:t xml:space="preserve"> %26</w:t>
      </w:r>
      <w:r w:rsidR="00F54064">
        <w:rPr>
          <w:rFonts w:ascii="Times New Roman" w:hAnsi="Times New Roman"/>
          <w:sz w:val="24"/>
          <w:szCs w:val="24"/>
        </w:rPr>
        <w:t>’</w:t>
      </w:r>
      <w:r w:rsidRPr="004B3EB9">
        <w:rPr>
          <w:rFonts w:ascii="Times New Roman" w:hAnsi="Times New Roman"/>
          <w:sz w:val="24"/>
          <w:szCs w:val="24"/>
        </w:rPr>
        <w:t>s</w:t>
      </w:r>
      <w:r w:rsidR="00424386" w:rsidRPr="004B3EB9">
        <w:rPr>
          <w:rFonts w:ascii="Times New Roman" w:hAnsi="Times New Roman"/>
          <w:sz w:val="24"/>
          <w:szCs w:val="24"/>
        </w:rPr>
        <w:t>ın</w:t>
      </w:r>
      <w:r w:rsidRPr="004B3EB9">
        <w:rPr>
          <w:rFonts w:ascii="Times New Roman" w:hAnsi="Times New Roman"/>
          <w:sz w:val="24"/>
          <w:szCs w:val="24"/>
        </w:rPr>
        <w:t>da) yol açan neden, şiddet</w:t>
      </w:r>
      <w:r w:rsidR="00FE4E94" w:rsidRPr="004B3EB9">
        <w:rPr>
          <w:rFonts w:ascii="Times New Roman" w:hAnsi="Times New Roman"/>
          <w:sz w:val="24"/>
          <w:szCs w:val="24"/>
        </w:rPr>
        <w:t>li</w:t>
      </w:r>
      <w:r w:rsidRPr="004B3EB9">
        <w:rPr>
          <w:rFonts w:ascii="Times New Roman" w:hAnsi="Times New Roman"/>
          <w:sz w:val="24"/>
          <w:szCs w:val="24"/>
        </w:rPr>
        <w:t xml:space="preserve"> intolerans ve hasta</w:t>
      </w:r>
      <w:r w:rsidR="00FE4E94" w:rsidRPr="004B3EB9">
        <w:rPr>
          <w:rFonts w:ascii="Times New Roman" w:hAnsi="Times New Roman"/>
          <w:sz w:val="24"/>
          <w:szCs w:val="24"/>
        </w:rPr>
        <w:t>lı</w:t>
      </w:r>
      <w:r w:rsidRPr="004B3EB9">
        <w:rPr>
          <w:rFonts w:ascii="Times New Roman" w:hAnsi="Times New Roman"/>
          <w:sz w:val="24"/>
          <w:szCs w:val="24"/>
        </w:rPr>
        <w:t>ğın ilerlemesidir (%14). Primer bitiş noktası, hasta</w:t>
      </w:r>
      <w:r w:rsidR="00D14442" w:rsidRPr="004B3EB9">
        <w:rPr>
          <w:rFonts w:ascii="Times New Roman" w:hAnsi="Times New Roman"/>
          <w:sz w:val="24"/>
          <w:szCs w:val="24"/>
        </w:rPr>
        <w:t>lı</w:t>
      </w:r>
      <w:r w:rsidRPr="004B3EB9">
        <w:rPr>
          <w:rFonts w:ascii="Times New Roman" w:hAnsi="Times New Roman"/>
          <w:sz w:val="24"/>
          <w:szCs w:val="24"/>
        </w:rPr>
        <w:t>ksız sağkalım süresidir. Sekonder sonlanım noktalarının yanıt verileri de Tablo 2</w:t>
      </w:r>
      <w:r w:rsidR="00F54064">
        <w:rPr>
          <w:rFonts w:ascii="Times New Roman" w:hAnsi="Times New Roman"/>
          <w:sz w:val="24"/>
          <w:szCs w:val="24"/>
        </w:rPr>
        <w:t>’</w:t>
      </w:r>
      <w:r w:rsidRPr="004B3EB9">
        <w:rPr>
          <w:rFonts w:ascii="Times New Roman" w:hAnsi="Times New Roman"/>
          <w:sz w:val="24"/>
          <w:szCs w:val="24"/>
        </w:rPr>
        <w:t>de gösterilmekted</w:t>
      </w:r>
      <w:r w:rsidR="00D14442" w:rsidRPr="004B3EB9">
        <w:rPr>
          <w:rFonts w:ascii="Times New Roman" w:hAnsi="Times New Roman"/>
          <w:sz w:val="24"/>
          <w:szCs w:val="24"/>
        </w:rPr>
        <w:t>ir</w:t>
      </w:r>
      <w:r w:rsidRPr="004B3EB9">
        <w:rPr>
          <w:rFonts w:ascii="Times New Roman" w:hAnsi="Times New Roman"/>
          <w:sz w:val="24"/>
          <w:szCs w:val="24"/>
        </w:rPr>
        <w:t>.</w:t>
      </w:r>
    </w:p>
    <w:p w:rsidR="005739A4" w:rsidRDefault="005739A4" w:rsidP="00C86B5D">
      <w:pPr>
        <w:spacing w:after="0"/>
        <w:jc w:val="both"/>
        <w:rPr>
          <w:rFonts w:ascii="Times New Roman" w:hAnsi="Times New Roman"/>
          <w:sz w:val="24"/>
          <w:szCs w:val="24"/>
        </w:rPr>
      </w:pPr>
    </w:p>
    <w:p w:rsidR="004E7E2D" w:rsidRDefault="004E7E2D" w:rsidP="00C86B5D">
      <w:pPr>
        <w:spacing w:after="0"/>
        <w:jc w:val="both"/>
        <w:rPr>
          <w:rFonts w:ascii="Times New Roman" w:hAnsi="Times New Roman"/>
          <w:sz w:val="24"/>
          <w:szCs w:val="24"/>
        </w:rPr>
      </w:pPr>
    </w:p>
    <w:p w:rsidR="004E7E2D" w:rsidRDefault="004E7E2D" w:rsidP="00C86B5D">
      <w:pPr>
        <w:spacing w:after="0"/>
        <w:jc w:val="both"/>
        <w:rPr>
          <w:rFonts w:ascii="Times New Roman" w:hAnsi="Times New Roman"/>
          <w:sz w:val="24"/>
          <w:szCs w:val="24"/>
        </w:rPr>
      </w:pPr>
    </w:p>
    <w:p w:rsidR="004E7E2D" w:rsidRDefault="004E7E2D" w:rsidP="00C86B5D">
      <w:pPr>
        <w:spacing w:after="0"/>
        <w:jc w:val="both"/>
        <w:rPr>
          <w:rFonts w:ascii="Times New Roman" w:hAnsi="Times New Roman"/>
          <w:sz w:val="24"/>
          <w:szCs w:val="24"/>
        </w:rPr>
      </w:pPr>
    </w:p>
    <w:p w:rsidR="004E7E2D" w:rsidRDefault="004E7E2D" w:rsidP="00C86B5D">
      <w:pPr>
        <w:spacing w:after="0"/>
        <w:jc w:val="both"/>
        <w:rPr>
          <w:rFonts w:ascii="Times New Roman" w:hAnsi="Times New Roman"/>
          <w:sz w:val="24"/>
          <w:szCs w:val="24"/>
        </w:rPr>
      </w:pPr>
    </w:p>
    <w:p w:rsidR="004E7E2D" w:rsidRPr="004B3EB9" w:rsidRDefault="004E7E2D" w:rsidP="00C86B5D">
      <w:pPr>
        <w:spacing w:after="0"/>
        <w:jc w:val="both"/>
        <w:rPr>
          <w:rFonts w:ascii="Times New Roman" w:hAnsi="Times New Roman"/>
          <w:sz w:val="24"/>
          <w:szCs w:val="24"/>
        </w:rPr>
      </w:pPr>
    </w:p>
    <w:p w:rsidR="00D14442" w:rsidRPr="004B3EB9" w:rsidRDefault="00396DF1" w:rsidP="00C86B5D">
      <w:pPr>
        <w:spacing w:after="0"/>
        <w:jc w:val="both"/>
        <w:rPr>
          <w:noProof/>
          <w:szCs w:val="24"/>
          <w:lang w:eastAsia="tr-TR"/>
        </w:rPr>
      </w:pPr>
      <w:r w:rsidRPr="004B3EB9">
        <w:rPr>
          <w:rFonts w:ascii="Times New Roman" w:hAnsi="Times New Roman"/>
          <w:b/>
          <w:bCs/>
          <w:sz w:val="24"/>
          <w:szCs w:val="24"/>
        </w:rPr>
        <w:t xml:space="preserve">Tablo 2 Yeni tanı konulan KML çalışmasındaki yanıt </w:t>
      </w:r>
      <w:r w:rsidR="00791617" w:rsidRPr="004B3EB9">
        <w:rPr>
          <w:rFonts w:ascii="Times New Roman" w:hAnsi="Times New Roman"/>
          <w:b/>
          <w:bCs/>
          <w:sz w:val="24"/>
          <w:szCs w:val="24"/>
        </w:rPr>
        <w:t>oranları</w:t>
      </w:r>
      <w:r w:rsidRPr="004B3EB9">
        <w:rPr>
          <w:rFonts w:ascii="Times New Roman" w:hAnsi="Times New Roman"/>
          <w:b/>
          <w:bCs/>
          <w:sz w:val="24"/>
          <w:szCs w:val="24"/>
        </w:rPr>
        <w:t xml:space="preserve"> (84 aylık veri)</w:t>
      </w:r>
    </w:p>
    <w:tbl>
      <w:tblPr>
        <w:tblW w:w="892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34"/>
        <w:gridCol w:w="2927"/>
        <w:gridCol w:w="2061"/>
      </w:tblGrid>
      <w:tr w:rsidR="00871CF0" w:rsidRPr="004B3EB9" w:rsidTr="0075054F">
        <w:trPr>
          <w:trHeight w:val="551"/>
        </w:trPr>
        <w:tc>
          <w:tcPr>
            <w:tcW w:w="3934" w:type="dxa"/>
            <w:tcBorders>
              <w:left w:val="nil"/>
              <w:bottom w:val="single" w:sz="4" w:space="0" w:color="auto"/>
              <w:right w:val="nil"/>
            </w:tcBorders>
            <w:shd w:val="clear" w:color="000000" w:fill="FFFFFF"/>
            <w:noWrap/>
            <w:vAlign w:val="bottom"/>
            <w:hideMark/>
          </w:tcPr>
          <w:p w:rsidR="00871CF0" w:rsidRPr="004B3EB9" w:rsidRDefault="00424386" w:rsidP="00C86B5D">
            <w:pPr>
              <w:spacing w:after="0"/>
              <w:rPr>
                <w:rFonts w:ascii="Times New Roman" w:eastAsia="Times New Roman" w:hAnsi="Times New Roman"/>
                <w:b/>
                <w:sz w:val="20"/>
                <w:szCs w:val="20"/>
                <w:lang w:eastAsia="tr-TR"/>
              </w:rPr>
            </w:pPr>
            <w:r w:rsidRPr="004B3EB9">
              <w:rPr>
                <w:rFonts w:ascii="Times New Roman" w:eastAsia="Times New Roman" w:hAnsi="Times New Roman"/>
                <w:sz w:val="20"/>
                <w:szCs w:val="20"/>
                <w:lang w:eastAsia="tr-TR"/>
              </w:rPr>
              <w:t>(</w:t>
            </w:r>
            <w:r w:rsidRPr="004B3EB9">
              <w:rPr>
                <w:rFonts w:ascii="Times New Roman" w:eastAsia="Times New Roman" w:hAnsi="Times New Roman"/>
                <w:b/>
                <w:sz w:val="20"/>
                <w:szCs w:val="20"/>
                <w:lang w:eastAsia="tr-TR"/>
              </w:rPr>
              <w:t>En iyi yanıt oranları)</w:t>
            </w:r>
          </w:p>
        </w:tc>
        <w:tc>
          <w:tcPr>
            <w:tcW w:w="2927" w:type="dxa"/>
            <w:tcBorders>
              <w:left w:val="nil"/>
              <w:bottom w:val="single" w:sz="4" w:space="0" w:color="auto"/>
              <w:right w:val="nil"/>
            </w:tcBorders>
            <w:shd w:val="clear" w:color="000000" w:fill="FFFFFF"/>
            <w:vAlign w:val="bottom"/>
            <w:hideMark/>
          </w:tcPr>
          <w:p w:rsidR="00871CF0" w:rsidRPr="004B3EB9" w:rsidRDefault="00871CF0" w:rsidP="00C86B5D">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İ</w:t>
            </w:r>
            <w:r w:rsidR="00996148" w:rsidRPr="004B3EB9">
              <w:rPr>
                <w:rFonts w:ascii="Times New Roman" w:eastAsia="Times New Roman" w:hAnsi="Times New Roman"/>
                <w:b/>
                <w:bCs/>
                <w:sz w:val="20"/>
                <w:szCs w:val="20"/>
                <w:lang w:eastAsia="tr-TR"/>
              </w:rPr>
              <w:t>matinib</w:t>
            </w:r>
            <w:r w:rsidRPr="004B3EB9">
              <w:rPr>
                <w:rFonts w:ascii="Times New Roman" w:eastAsia="Times New Roman" w:hAnsi="Times New Roman"/>
                <w:b/>
                <w:bCs/>
                <w:sz w:val="20"/>
                <w:szCs w:val="20"/>
                <w:lang w:eastAsia="tr-TR"/>
              </w:rPr>
              <w:br/>
            </w:r>
            <w:r w:rsidRPr="004B3EB9">
              <w:rPr>
                <w:rFonts w:ascii="Times New Roman" w:eastAsia="Times New Roman" w:hAnsi="Times New Roman"/>
                <w:sz w:val="20"/>
                <w:szCs w:val="20"/>
                <w:lang w:eastAsia="tr-TR"/>
              </w:rPr>
              <w:t>n=553</w:t>
            </w:r>
          </w:p>
        </w:tc>
        <w:tc>
          <w:tcPr>
            <w:tcW w:w="2061" w:type="dxa"/>
            <w:tcBorders>
              <w:left w:val="nil"/>
              <w:bottom w:val="single" w:sz="4" w:space="0" w:color="auto"/>
              <w:right w:val="nil"/>
            </w:tcBorders>
            <w:shd w:val="clear" w:color="000000" w:fill="FFFFFF"/>
            <w:vAlign w:val="bottom"/>
            <w:hideMark/>
          </w:tcPr>
          <w:p w:rsidR="00871CF0" w:rsidRPr="004B3EB9" w:rsidRDefault="00871CF0" w:rsidP="00C86B5D">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IFN+Ara-C</w:t>
            </w:r>
            <w:r w:rsidRPr="004B3EB9">
              <w:rPr>
                <w:rFonts w:ascii="Times New Roman" w:eastAsia="Times New Roman" w:hAnsi="Times New Roman"/>
                <w:b/>
                <w:bCs/>
                <w:sz w:val="20"/>
                <w:szCs w:val="20"/>
                <w:lang w:eastAsia="tr-TR"/>
              </w:rPr>
              <w:br/>
            </w:r>
            <w:r w:rsidRPr="004B3EB9">
              <w:rPr>
                <w:rFonts w:ascii="Times New Roman" w:eastAsia="Times New Roman" w:hAnsi="Times New Roman"/>
                <w:sz w:val="20"/>
                <w:szCs w:val="20"/>
                <w:lang w:eastAsia="tr-TR"/>
              </w:rPr>
              <w:t>n=553</w:t>
            </w:r>
          </w:p>
        </w:tc>
      </w:tr>
      <w:tr w:rsidR="00424386" w:rsidRPr="004B3EB9" w:rsidTr="0075054F">
        <w:trPr>
          <w:trHeight w:val="315"/>
        </w:trPr>
        <w:tc>
          <w:tcPr>
            <w:tcW w:w="3934" w:type="dxa"/>
            <w:tcBorders>
              <w:left w:val="nil"/>
              <w:bottom w:val="nil"/>
              <w:right w:val="nil"/>
            </w:tcBorders>
            <w:shd w:val="clear" w:color="000000" w:fill="FFFFFF"/>
            <w:hideMark/>
          </w:tcPr>
          <w:p w:rsidR="00424386" w:rsidRPr="004B3EB9" w:rsidRDefault="00446B36" w:rsidP="00C86B5D">
            <w:pPr>
              <w:spacing w:after="0"/>
              <w:jc w:val="both"/>
              <w:rPr>
                <w:rFonts w:ascii="Times New Roman" w:eastAsia="Times New Roman" w:hAnsi="Times New Roman"/>
                <w:b/>
                <w:sz w:val="20"/>
                <w:szCs w:val="20"/>
                <w:lang w:eastAsia="tr-TR"/>
              </w:rPr>
            </w:pPr>
            <w:r w:rsidRPr="004B3EB9">
              <w:rPr>
                <w:rFonts w:ascii="Times New Roman" w:eastAsia="Times New Roman" w:hAnsi="Times New Roman"/>
                <w:b/>
                <w:sz w:val="20"/>
                <w:szCs w:val="20"/>
                <w:lang w:eastAsia="tr-TR"/>
              </w:rPr>
              <w:t>Hematolojik yanıt</w:t>
            </w: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THY oranı </w:t>
            </w:r>
            <w:r w:rsidRPr="004B3EB9">
              <w:rPr>
                <w:rFonts w:ascii="Times New Roman" w:eastAsia="Times New Roman" w:hAnsi="Times New Roman"/>
                <w:i/>
                <w:sz w:val="20"/>
                <w:szCs w:val="20"/>
                <w:lang w:eastAsia="tr-TR"/>
              </w:rPr>
              <w:t xml:space="preserve">n </w:t>
            </w:r>
            <w:r w:rsidRPr="004B3EB9">
              <w:rPr>
                <w:rFonts w:ascii="Times New Roman" w:eastAsia="Times New Roman" w:hAnsi="Times New Roman"/>
                <w:sz w:val="20"/>
                <w:szCs w:val="20"/>
                <w:lang w:eastAsia="tr-TR"/>
              </w:rPr>
              <w:t>(%)</w:t>
            </w:r>
          </w:p>
          <w:p w:rsidR="00446B36" w:rsidRPr="004B3EB9" w:rsidRDefault="00446B36" w:rsidP="00C86B5D">
            <w:pPr>
              <w:spacing w:after="0"/>
              <w:jc w:val="both"/>
              <w:rPr>
                <w:rFonts w:ascii="Times New Roman" w:eastAsia="Times New Roman" w:hAnsi="Times New Roman"/>
                <w:b/>
                <w:sz w:val="20"/>
                <w:szCs w:val="20"/>
                <w:lang w:eastAsia="tr-TR"/>
              </w:rPr>
            </w:pPr>
            <w:r w:rsidRPr="004B3EB9">
              <w:rPr>
                <w:rFonts w:ascii="Times New Roman" w:eastAsia="Times New Roman" w:hAnsi="Times New Roman"/>
                <w:sz w:val="20"/>
                <w:szCs w:val="20"/>
                <w:lang w:eastAsia="tr-TR"/>
              </w:rPr>
              <w:t>[%95 güven aralığı]</w:t>
            </w:r>
            <w:r w:rsidRPr="004B3EB9">
              <w:rPr>
                <w:rFonts w:ascii="Times New Roman" w:eastAsia="Times New Roman" w:hAnsi="Times New Roman"/>
                <w:b/>
                <w:sz w:val="20"/>
                <w:szCs w:val="20"/>
                <w:lang w:eastAsia="tr-TR"/>
              </w:rPr>
              <w:t xml:space="preserve"> </w:t>
            </w:r>
          </w:p>
        </w:tc>
        <w:tc>
          <w:tcPr>
            <w:tcW w:w="2927" w:type="dxa"/>
            <w:tcBorders>
              <w:left w:val="nil"/>
              <w:bottom w:val="nil"/>
              <w:right w:val="nil"/>
            </w:tcBorders>
            <w:shd w:val="clear" w:color="000000" w:fill="FFFFFF"/>
            <w:hideMark/>
          </w:tcPr>
          <w:p w:rsidR="00424386" w:rsidRPr="004B3EB9" w:rsidRDefault="00424386" w:rsidP="00C86B5D">
            <w:pPr>
              <w:spacing w:after="0"/>
              <w:jc w:val="both"/>
              <w:rPr>
                <w:rFonts w:ascii="Times New Roman" w:eastAsia="Times New Roman" w:hAnsi="Times New Roman"/>
                <w:sz w:val="20"/>
                <w:szCs w:val="20"/>
                <w:lang w:eastAsia="tr-TR"/>
              </w:rPr>
            </w:pP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534 (</w:t>
            </w:r>
            <w:proofErr w:type="gramStart"/>
            <w:r w:rsidRPr="004B3EB9">
              <w:rPr>
                <w:rFonts w:ascii="Times New Roman" w:eastAsia="Times New Roman" w:hAnsi="Times New Roman"/>
                <w:sz w:val="20"/>
                <w:szCs w:val="20"/>
                <w:lang w:eastAsia="tr-TR"/>
              </w:rPr>
              <w:t>96.6</w:t>
            </w:r>
            <w:proofErr w:type="gramEnd"/>
            <w:r w:rsidRPr="004B3EB9">
              <w:rPr>
                <w:rFonts w:ascii="Times New Roman" w:eastAsia="Times New Roman" w:hAnsi="Times New Roman"/>
                <w:sz w:val="20"/>
                <w:szCs w:val="20"/>
                <w:lang w:eastAsia="tr-TR"/>
              </w:rPr>
              <w:t>)*</w:t>
            </w: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94.7, </w:t>
            </w:r>
            <w:proofErr w:type="gramStart"/>
            <w:r w:rsidRPr="004B3EB9">
              <w:rPr>
                <w:rFonts w:ascii="Times New Roman" w:eastAsia="Times New Roman" w:hAnsi="Times New Roman"/>
                <w:sz w:val="20"/>
                <w:szCs w:val="20"/>
                <w:lang w:eastAsia="tr-TR"/>
              </w:rPr>
              <w:t>97.9</w:t>
            </w:r>
            <w:proofErr w:type="gramEnd"/>
          </w:p>
        </w:tc>
        <w:tc>
          <w:tcPr>
            <w:tcW w:w="2061" w:type="dxa"/>
            <w:tcBorders>
              <w:left w:val="nil"/>
              <w:bottom w:val="nil"/>
              <w:right w:val="nil"/>
            </w:tcBorders>
            <w:shd w:val="clear" w:color="000000" w:fill="FFFFFF"/>
            <w:vAlign w:val="bottom"/>
            <w:hideMark/>
          </w:tcPr>
          <w:p w:rsidR="0042438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313 (</w:t>
            </w:r>
            <w:proofErr w:type="gramStart"/>
            <w:r w:rsidRPr="004B3EB9">
              <w:rPr>
                <w:rFonts w:ascii="Times New Roman" w:eastAsia="Times New Roman" w:hAnsi="Times New Roman"/>
                <w:sz w:val="20"/>
                <w:szCs w:val="20"/>
                <w:lang w:eastAsia="tr-TR"/>
              </w:rPr>
              <w:t>56.6</w:t>
            </w:r>
            <w:proofErr w:type="gramEnd"/>
            <w:r w:rsidRPr="004B3EB9">
              <w:rPr>
                <w:rFonts w:ascii="Times New Roman" w:eastAsia="Times New Roman" w:hAnsi="Times New Roman"/>
                <w:sz w:val="20"/>
                <w:szCs w:val="20"/>
                <w:lang w:eastAsia="tr-TR"/>
              </w:rPr>
              <w:t>)*</w:t>
            </w: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52.4, </w:t>
            </w:r>
            <w:proofErr w:type="gramStart"/>
            <w:r w:rsidRPr="004B3EB9">
              <w:rPr>
                <w:rFonts w:ascii="Times New Roman" w:eastAsia="Times New Roman" w:hAnsi="Times New Roman"/>
                <w:sz w:val="20"/>
                <w:szCs w:val="20"/>
                <w:lang w:eastAsia="tr-TR"/>
              </w:rPr>
              <w:t>60.8</w:t>
            </w:r>
            <w:proofErr w:type="gramEnd"/>
          </w:p>
        </w:tc>
      </w:tr>
      <w:tr w:rsidR="00446B36" w:rsidRPr="004B3EB9" w:rsidTr="0075054F">
        <w:trPr>
          <w:trHeight w:val="315"/>
        </w:trPr>
        <w:tc>
          <w:tcPr>
            <w:tcW w:w="3934" w:type="dxa"/>
            <w:tcBorders>
              <w:top w:val="nil"/>
              <w:left w:val="nil"/>
              <w:bottom w:val="nil"/>
              <w:right w:val="nil"/>
            </w:tcBorders>
            <w:shd w:val="clear" w:color="000000" w:fill="FFFFFF"/>
            <w:hideMark/>
          </w:tcPr>
          <w:p w:rsidR="00446B36" w:rsidRPr="004B3EB9" w:rsidRDefault="00446B36" w:rsidP="00C86B5D">
            <w:pPr>
              <w:spacing w:after="0"/>
              <w:jc w:val="both"/>
              <w:rPr>
                <w:rFonts w:ascii="Times New Roman" w:eastAsia="Times New Roman" w:hAnsi="Times New Roman"/>
                <w:b/>
                <w:sz w:val="20"/>
                <w:szCs w:val="20"/>
                <w:lang w:eastAsia="tr-TR"/>
              </w:rPr>
            </w:pPr>
            <w:r w:rsidRPr="004B3EB9">
              <w:rPr>
                <w:rFonts w:ascii="Times New Roman" w:eastAsia="Times New Roman" w:hAnsi="Times New Roman"/>
                <w:b/>
                <w:sz w:val="20"/>
                <w:szCs w:val="20"/>
                <w:lang w:eastAsia="tr-TR"/>
              </w:rPr>
              <w:t>Sitogenetik yanıt</w:t>
            </w: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Majör yanıt n (%)</w:t>
            </w:r>
          </w:p>
          <w:p w:rsidR="00446B36" w:rsidRPr="004B3EB9" w:rsidRDefault="00446B36" w:rsidP="00C86B5D">
            <w:pPr>
              <w:spacing w:after="0"/>
              <w:jc w:val="both"/>
              <w:rPr>
                <w:rFonts w:ascii="Times New Roman" w:eastAsia="Times New Roman" w:hAnsi="Times New Roman"/>
                <w:b/>
                <w:sz w:val="20"/>
                <w:szCs w:val="20"/>
                <w:lang w:eastAsia="tr-TR"/>
              </w:rPr>
            </w:pPr>
            <w:r w:rsidRPr="004B3EB9">
              <w:rPr>
                <w:rFonts w:ascii="Times New Roman" w:eastAsia="Times New Roman" w:hAnsi="Times New Roman"/>
                <w:sz w:val="20"/>
                <w:szCs w:val="20"/>
                <w:lang w:eastAsia="tr-TR"/>
              </w:rPr>
              <w:t>[%95 güven aralığı]</w:t>
            </w:r>
          </w:p>
        </w:tc>
        <w:tc>
          <w:tcPr>
            <w:tcW w:w="2927" w:type="dxa"/>
            <w:tcBorders>
              <w:top w:val="nil"/>
              <w:left w:val="nil"/>
              <w:bottom w:val="nil"/>
              <w:right w:val="nil"/>
            </w:tcBorders>
            <w:shd w:val="clear" w:color="000000" w:fill="FFFFFF"/>
            <w:hideMark/>
          </w:tcPr>
          <w:p w:rsidR="00446B36" w:rsidRPr="004B3EB9" w:rsidRDefault="00446B36" w:rsidP="00C86B5D">
            <w:pPr>
              <w:spacing w:after="0"/>
              <w:jc w:val="both"/>
              <w:rPr>
                <w:rFonts w:ascii="Times New Roman" w:eastAsia="Times New Roman" w:hAnsi="Times New Roman"/>
                <w:sz w:val="20"/>
                <w:szCs w:val="20"/>
                <w:lang w:eastAsia="tr-TR"/>
              </w:rPr>
            </w:pP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490 (</w:t>
            </w:r>
            <w:proofErr w:type="gramStart"/>
            <w:r w:rsidRPr="004B3EB9">
              <w:rPr>
                <w:rFonts w:ascii="Times New Roman" w:eastAsia="Times New Roman" w:hAnsi="Times New Roman"/>
                <w:sz w:val="20"/>
                <w:szCs w:val="20"/>
                <w:lang w:eastAsia="tr-TR"/>
              </w:rPr>
              <w:t>88.6</w:t>
            </w:r>
            <w:proofErr w:type="gramEnd"/>
            <w:r w:rsidRPr="004B3EB9">
              <w:rPr>
                <w:rFonts w:ascii="Times New Roman" w:eastAsia="Times New Roman" w:hAnsi="Times New Roman"/>
                <w:sz w:val="20"/>
                <w:szCs w:val="20"/>
                <w:lang w:eastAsia="tr-TR"/>
              </w:rPr>
              <w:t>)</w:t>
            </w: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[85.7, </w:t>
            </w:r>
            <w:proofErr w:type="gramStart"/>
            <w:r w:rsidRPr="004B3EB9">
              <w:rPr>
                <w:rFonts w:ascii="Times New Roman" w:eastAsia="Times New Roman" w:hAnsi="Times New Roman"/>
                <w:sz w:val="20"/>
                <w:szCs w:val="20"/>
                <w:lang w:eastAsia="tr-TR"/>
              </w:rPr>
              <w:t>91.1</w:t>
            </w:r>
            <w:proofErr w:type="gramEnd"/>
            <w:r w:rsidRPr="004B3EB9">
              <w:rPr>
                <w:rFonts w:ascii="Times New Roman" w:eastAsia="Times New Roman" w:hAnsi="Times New Roman"/>
                <w:sz w:val="20"/>
                <w:szCs w:val="20"/>
                <w:lang w:eastAsia="tr-TR"/>
              </w:rPr>
              <w:t>]</w:t>
            </w:r>
          </w:p>
        </w:tc>
        <w:tc>
          <w:tcPr>
            <w:tcW w:w="2061" w:type="dxa"/>
            <w:tcBorders>
              <w:top w:val="nil"/>
              <w:left w:val="nil"/>
              <w:bottom w:val="nil"/>
              <w:right w:val="nil"/>
            </w:tcBorders>
            <w:shd w:val="clear" w:color="000000" w:fill="FFFFFF"/>
            <w:vAlign w:val="bottom"/>
            <w:hideMark/>
          </w:tcPr>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129 (</w:t>
            </w:r>
            <w:proofErr w:type="gramStart"/>
            <w:r w:rsidRPr="004B3EB9">
              <w:rPr>
                <w:rFonts w:ascii="Times New Roman" w:eastAsia="Times New Roman" w:hAnsi="Times New Roman"/>
                <w:sz w:val="20"/>
                <w:szCs w:val="20"/>
                <w:lang w:eastAsia="tr-TR"/>
              </w:rPr>
              <w:t>23.3</w:t>
            </w:r>
            <w:proofErr w:type="gramEnd"/>
            <w:r w:rsidRPr="004B3EB9">
              <w:rPr>
                <w:rFonts w:ascii="Times New Roman" w:eastAsia="Times New Roman" w:hAnsi="Times New Roman"/>
                <w:sz w:val="20"/>
                <w:szCs w:val="20"/>
                <w:lang w:eastAsia="tr-TR"/>
              </w:rPr>
              <w:t>)</w:t>
            </w:r>
          </w:p>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[19.9, </w:t>
            </w:r>
            <w:proofErr w:type="gramStart"/>
            <w:r w:rsidRPr="004B3EB9">
              <w:rPr>
                <w:rFonts w:ascii="Times New Roman" w:eastAsia="Times New Roman" w:hAnsi="Times New Roman"/>
                <w:sz w:val="20"/>
                <w:szCs w:val="20"/>
                <w:lang w:eastAsia="tr-TR"/>
              </w:rPr>
              <w:t>27.1</w:t>
            </w:r>
            <w:proofErr w:type="gramEnd"/>
            <w:r w:rsidRPr="004B3EB9">
              <w:rPr>
                <w:rFonts w:ascii="Times New Roman" w:eastAsia="Times New Roman" w:hAnsi="Times New Roman"/>
                <w:sz w:val="20"/>
                <w:szCs w:val="20"/>
                <w:lang w:eastAsia="tr-TR"/>
              </w:rPr>
              <w:t>]</w:t>
            </w:r>
          </w:p>
        </w:tc>
      </w:tr>
      <w:tr w:rsidR="00446B36" w:rsidRPr="004B3EB9" w:rsidTr="00452F0A">
        <w:trPr>
          <w:trHeight w:val="315"/>
        </w:trPr>
        <w:tc>
          <w:tcPr>
            <w:tcW w:w="3934" w:type="dxa"/>
            <w:tcBorders>
              <w:top w:val="nil"/>
              <w:left w:val="nil"/>
              <w:bottom w:val="nil"/>
              <w:right w:val="nil"/>
            </w:tcBorders>
            <w:shd w:val="clear" w:color="000000" w:fill="FFFFFF"/>
            <w:hideMark/>
          </w:tcPr>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Tam CyR </w:t>
            </w:r>
            <w:r w:rsidRPr="004B3EB9">
              <w:rPr>
                <w:rFonts w:ascii="Times New Roman" w:eastAsia="Times New Roman" w:hAnsi="Times New Roman"/>
                <w:i/>
                <w:sz w:val="20"/>
                <w:szCs w:val="20"/>
                <w:lang w:eastAsia="tr-TR"/>
              </w:rPr>
              <w:t>n</w:t>
            </w:r>
            <w:r w:rsidRPr="004B3EB9">
              <w:rPr>
                <w:rFonts w:ascii="Times New Roman" w:eastAsia="Times New Roman" w:hAnsi="Times New Roman"/>
                <w:sz w:val="20"/>
                <w:szCs w:val="20"/>
                <w:lang w:eastAsia="tr-TR"/>
              </w:rPr>
              <w:t xml:space="preserve"> (%)</w:t>
            </w:r>
          </w:p>
        </w:tc>
        <w:tc>
          <w:tcPr>
            <w:tcW w:w="2927" w:type="dxa"/>
            <w:tcBorders>
              <w:top w:val="nil"/>
              <w:left w:val="nil"/>
              <w:bottom w:val="nil"/>
              <w:right w:val="nil"/>
            </w:tcBorders>
            <w:shd w:val="clear" w:color="000000" w:fill="FFFFFF"/>
            <w:hideMark/>
          </w:tcPr>
          <w:p w:rsidR="00446B36"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456 (</w:t>
            </w:r>
            <w:proofErr w:type="gramStart"/>
            <w:r w:rsidRPr="004B3EB9">
              <w:rPr>
                <w:rFonts w:ascii="Times New Roman" w:eastAsia="Times New Roman" w:hAnsi="Times New Roman"/>
                <w:sz w:val="20"/>
                <w:szCs w:val="20"/>
                <w:lang w:eastAsia="tr-TR"/>
              </w:rPr>
              <w:t>82.5</w:t>
            </w:r>
            <w:proofErr w:type="gramEnd"/>
            <w:r w:rsidRPr="004B3EB9">
              <w:rPr>
                <w:rFonts w:ascii="Times New Roman" w:eastAsia="Times New Roman" w:hAnsi="Times New Roman"/>
                <w:sz w:val="20"/>
                <w:szCs w:val="20"/>
                <w:lang w:eastAsia="tr-TR"/>
              </w:rPr>
              <w:t>)</w:t>
            </w:r>
          </w:p>
        </w:tc>
        <w:tc>
          <w:tcPr>
            <w:tcW w:w="2061" w:type="dxa"/>
            <w:tcBorders>
              <w:top w:val="nil"/>
              <w:left w:val="nil"/>
              <w:bottom w:val="nil"/>
              <w:right w:val="nil"/>
            </w:tcBorders>
            <w:shd w:val="clear" w:color="000000" w:fill="FFFFFF"/>
            <w:hideMark/>
          </w:tcPr>
          <w:p w:rsidR="00446B36" w:rsidRPr="004B3EB9" w:rsidRDefault="00446B36" w:rsidP="00C86B5D">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64 (</w:t>
            </w:r>
            <w:proofErr w:type="gramStart"/>
            <w:r w:rsidRPr="004B3EB9">
              <w:rPr>
                <w:rFonts w:ascii="Times New Roman" w:eastAsia="Times New Roman" w:hAnsi="Times New Roman"/>
                <w:sz w:val="20"/>
                <w:szCs w:val="20"/>
                <w:lang w:eastAsia="tr-TR"/>
              </w:rPr>
              <w:t>11.6</w:t>
            </w:r>
            <w:proofErr w:type="gramEnd"/>
            <w:r w:rsidRPr="004B3EB9">
              <w:rPr>
                <w:rFonts w:ascii="Times New Roman" w:eastAsia="Times New Roman" w:hAnsi="Times New Roman"/>
                <w:sz w:val="20"/>
                <w:szCs w:val="20"/>
                <w:lang w:eastAsia="tr-TR"/>
              </w:rPr>
              <w:t>)</w:t>
            </w:r>
          </w:p>
        </w:tc>
      </w:tr>
      <w:tr w:rsidR="00871CF0" w:rsidRPr="004B3EB9" w:rsidTr="00452F0A">
        <w:trPr>
          <w:trHeight w:val="315"/>
        </w:trPr>
        <w:tc>
          <w:tcPr>
            <w:tcW w:w="3934" w:type="dxa"/>
            <w:tcBorders>
              <w:top w:val="nil"/>
              <w:left w:val="nil"/>
              <w:bottom w:val="nil"/>
              <w:right w:val="nil"/>
            </w:tcBorders>
            <w:shd w:val="clear" w:color="000000" w:fill="FFFFFF"/>
            <w:hideMark/>
          </w:tcPr>
          <w:p w:rsidR="00871CF0" w:rsidRPr="004B3EB9" w:rsidRDefault="00446B36"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Kısmi</w:t>
            </w:r>
            <w:r w:rsidR="00871CF0" w:rsidRPr="004B3EB9">
              <w:rPr>
                <w:rFonts w:ascii="Times New Roman" w:eastAsia="Times New Roman" w:hAnsi="Times New Roman"/>
                <w:sz w:val="20"/>
                <w:szCs w:val="20"/>
                <w:lang w:eastAsia="tr-TR"/>
              </w:rPr>
              <w:t xml:space="preserve"> CyR </w:t>
            </w:r>
            <w:r w:rsidR="00871CF0" w:rsidRPr="004B3EB9">
              <w:rPr>
                <w:rFonts w:ascii="Times New Roman" w:eastAsia="Times New Roman" w:hAnsi="Times New Roman"/>
                <w:i/>
                <w:iCs/>
                <w:sz w:val="20"/>
                <w:szCs w:val="20"/>
                <w:lang w:eastAsia="tr-TR"/>
              </w:rPr>
              <w:t>n</w:t>
            </w:r>
            <w:r w:rsidR="00871CF0" w:rsidRPr="004B3EB9">
              <w:rPr>
                <w:rFonts w:ascii="Times New Roman" w:eastAsia="Times New Roman" w:hAnsi="Times New Roman"/>
                <w:sz w:val="20"/>
                <w:szCs w:val="20"/>
                <w:lang w:eastAsia="tr-TR"/>
              </w:rPr>
              <w:t xml:space="preserve"> </w:t>
            </w:r>
            <w:r w:rsidR="00871CF0" w:rsidRPr="004B3EB9">
              <w:rPr>
                <w:rFonts w:ascii="Times New Roman" w:eastAsia="Times New Roman" w:hAnsi="Times New Roman"/>
                <w:i/>
                <w:iCs/>
                <w:sz w:val="20"/>
                <w:szCs w:val="20"/>
                <w:lang w:eastAsia="tr-TR"/>
              </w:rPr>
              <w:t>(%)</w:t>
            </w:r>
          </w:p>
        </w:tc>
        <w:tc>
          <w:tcPr>
            <w:tcW w:w="2927" w:type="dxa"/>
            <w:tcBorders>
              <w:top w:val="nil"/>
              <w:left w:val="nil"/>
              <w:bottom w:val="nil"/>
              <w:right w:val="nil"/>
            </w:tcBorders>
            <w:shd w:val="clear" w:color="000000" w:fill="FFFFFF"/>
            <w:hideMark/>
          </w:tcPr>
          <w:p w:rsidR="00871CF0" w:rsidRPr="004B3EB9" w:rsidRDefault="00871CF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34 (</w:t>
            </w:r>
            <w:proofErr w:type="gramStart"/>
            <w:r w:rsidRPr="004B3EB9">
              <w:rPr>
                <w:rFonts w:ascii="Times New Roman" w:eastAsia="Times New Roman" w:hAnsi="Times New Roman"/>
                <w:sz w:val="20"/>
                <w:szCs w:val="20"/>
                <w:lang w:eastAsia="tr-TR"/>
              </w:rPr>
              <w:t>6.1</w:t>
            </w:r>
            <w:proofErr w:type="gramEnd"/>
            <w:r w:rsidRPr="004B3EB9">
              <w:rPr>
                <w:rFonts w:ascii="Times New Roman" w:eastAsia="Times New Roman" w:hAnsi="Times New Roman"/>
                <w:sz w:val="20"/>
                <w:szCs w:val="20"/>
                <w:lang w:eastAsia="tr-TR"/>
              </w:rPr>
              <w:t>)</w:t>
            </w:r>
          </w:p>
        </w:tc>
        <w:tc>
          <w:tcPr>
            <w:tcW w:w="2061" w:type="dxa"/>
            <w:tcBorders>
              <w:top w:val="nil"/>
              <w:left w:val="nil"/>
              <w:bottom w:val="nil"/>
              <w:right w:val="nil"/>
            </w:tcBorders>
            <w:shd w:val="clear" w:color="000000" w:fill="FFFFFF"/>
            <w:hideMark/>
          </w:tcPr>
          <w:p w:rsidR="00871CF0" w:rsidRPr="004B3EB9" w:rsidRDefault="00871CF0" w:rsidP="00C86B5D">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65 (</w:t>
            </w:r>
            <w:proofErr w:type="gramStart"/>
            <w:r w:rsidRPr="004B3EB9">
              <w:rPr>
                <w:rFonts w:ascii="Times New Roman" w:eastAsia="Times New Roman" w:hAnsi="Times New Roman"/>
                <w:sz w:val="20"/>
                <w:szCs w:val="20"/>
                <w:lang w:eastAsia="tr-TR"/>
              </w:rPr>
              <w:t>11.8</w:t>
            </w:r>
            <w:proofErr w:type="gramEnd"/>
            <w:r w:rsidRPr="004B3EB9">
              <w:rPr>
                <w:rFonts w:ascii="Times New Roman" w:eastAsia="Times New Roman" w:hAnsi="Times New Roman"/>
                <w:sz w:val="20"/>
                <w:szCs w:val="20"/>
                <w:lang w:eastAsia="tr-TR"/>
              </w:rPr>
              <w:t>)</w:t>
            </w:r>
          </w:p>
        </w:tc>
      </w:tr>
      <w:tr w:rsidR="00871CF0" w:rsidRPr="004B3EB9" w:rsidTr="0075054F">
        <w:trPr>
          <w:trHeight w:val="315"/>
        </w:trPr>
        <w:tc>
          <w:tcPr>
            <w:tcW w:w="3934" w:type="dxa"/>
            <w:tcBorders>
              <w:top w:val="nil"/>
              <w:left w:val="nil"/>
              <w:bottom w:val="nil"/>
              <w:right w:val="nil"/>
            </w:tcBorders>
            <w:shd w:val="clear" w:color="000000" w:fill="FFFFFF"/>
            <w:hideMark/>
          </w:tcPr>
          <w:p w:rsidR="00871CF0" w:rsidRPr="004B3EB9" w:rsidRDefault="00871CF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Moleküler Yanıt </w:t>
            </w:r>
          </w:p>
        </w:tc>
        <w:tc>
          <w:tcPr>
            <w:tcW w:w="2927" w:type="dxa"/>
            <w:tcBorders>
              <w:top w:val="nil"/>
              <w:left w:val="nil"/>
              <w:bottom w:val="nil"/>
              <w:right w:val="nil"/>
            </w:tcBorders>
            <w:shd w:val="clear" w:color="000000" w:fill="FFFFFF"/>
            <w:hideMark/>
          </w:tcPr>
          <w:p w:rsidR="00871CF0" w:rsidRPr="004B3EB9" w:rsidRDefault="00871CF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w:t>
            </w:r>
          </w:p>
        </w:tc>
        <w:tc>
          <w:tcPr>
            <w:tcW w:w="2061" w:type="dxa"/>
            <w:tcBorders>
              <w:top w:val="nil"/>
              <w:left w:val="nil"/>
              <w:bottom w:val="nil"/>
              <w:right w:val="nil"/>
            </w:tcBorders>
            <w:shd w:val="clear" w:color="000000" w:fill="FFFFFF"/>
            <w:noWrap/>
            <w:vAlign w:val="bottom"/>
            <w:hideMark/>
          </w:tcPr>
          <w:p w:rsidR="00871CF0" w:rsidRPr="004B3EB9" w:rsidRDefault="00871CF0" w:rsidP="00C86B5D">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w:t>
            </w:r>
          </w:p>
        </w:tc>
      </w:tr>
      <w:tr w:rsidR="00871CF0" w:rsidRPr="004B3EB9" w:rsidTr="0075054F">
        <w:trPr>
          <w:trHeight w:val="331"/>
        </w:trPr>
        <w:tc>
          <w:tcPr>
            <w:tcW w:w="3934" w:type="dxa"/>
            <w:tcBorders>
              <w:top w:val="nil"/>
              <w:left w:val="nil"/>
              <w:bottom w:val="nil"/>
              <w:right w:val="nil"/>
            </w:tcBorders>
            <w:shd w:val="clear" w:color="000000" w:fill="FFFFFF"/>
            <w:hideMark/>
          </w:tcPr>
          <w:p w:rsidR="00871CF0" w:rsidRPr="004B3EB9" w:rsidRDefault="00871CF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12 aydaki major yanıt (%)</w:t>
            </w:r>
          </w:p>
        </w:tc>
        <w:tc>
          <w:tcPr>
            <w:tcW w:w="2927" w:type="dxa"/>
            <w:tcBorders>
              <w:top w:val="nil"/>
              <w:left w:val="nil"/>
              <w:bottom w:val="nil"/>
              <w:right w:val="nil"/>
            </w:tcBorders>
            <w:shd w:val="clear" w:color="000000" w:fill="FFFFFF"/>
            <w:hideMark/>
          </w:tcPr>
          <w:p w:rsidR="00871CF0" w:rsidRPr="004B3EB9" w:rsidRDefault="00871CF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40*</w:t>
            </w:r>
          </w:p>
        </w:tc>
        <w:tc>
          <w:tcPr>
            <w:tcW w:w="2061" w:type="dxa"/>
            <w:tcBorders>
              <w:top w:val="nil"/>
              <w:left w:val="nil"/>
              <w:bottom w:val="nil"/>
              <w:right w:val="nil"/>
            </w:tcBorders>
            <w:shd w:val="clear" w:color="000000" w:fill="FFFFFF"/>
            <w:hideMark/>
          </w:tcPr>
          <w:p w:rsidR="00871CF0" w:rsidRPr="004B3EB9" w:rsidRDefault="00871CF0" w:rsidP="00C86B5D">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%2*</w:t>
            </w:r>
          </w:p>
        </w:tc>
      </w:tr>
      <w:tr w:rsidR="00871CF0" w:rsidRPr="004B3EB9" w:rsidTr="0075054F">
        <w:trPr>
          <w:trHeight w:val="315"/>
        </w:trPr>
        <w:tc>
          <w:tcPr>
            <w:tcW w:w="3934" w:type="dxa"/>
            <w:tcBorders>
              <w:top w:val="nil"/>
              <w:left w:val="nil"/>
              <w:right w:val="nil"/>
            </w:tcBorders>
            <w:shd w:val="clear" w:color="000000" w:fill="FFFFFF"/>
            <w:hideMark/>
          </w:tcPr>
          <w:p w:rsidR="00871CF0" w:rsidRPr="004B3EB9" w:rsidRDefault="00871CF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24 aydaki major yanıt (%)</w:t>
            </w:r>
          </w:p>
        </w:tc>
        <w:tc>
          <w:tcPr>
            <w:tcW w:w="2927" w:type="dxa"/>
            <w:tcBorders>
              <w:top w:val="nil"/>
              <w:left w:val="nil"/>
              <w:right w:val="nil"/>
            </w:tcBorders>
            <w:shd w:val="clear" w:color="000000" w:fill="FFFFFF"/>
            <w:hideMark/>
          </w:tcPr>
          <w:p w:rsidR="00871CF0" w:rsidRPr="004B3EB9" w:rsidRDefault="00452F0A" w:rsidP="00C86B5D">
            <w:pPr>
              <w:spacing w:after="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00871CF0" w:rsidRPr="004B3EB9">
              <w:rPr>
                <w:rFonts w:ascii="Times New Roman" w:eastAsia="Times New Roman" w:hAnsi="Times New Roman"/>
                <w:sz w:val="20"/>
                <w:szCs w:val="20"/>
                <w:lang w:eastAsia="tr-TR"/>
              </w:rPr>
              <w:t>54</w:t>
            </w:r>
          </w:p>
        </w:tc>
        <w:tc>
          <w:tcPr>
            <w:tcW w:w="2061" w:type="dxa"/>
            <w:tcBorders>
              <w:top w:val="nil"/>
              <w:left w:val="nil"/>
              <w:right w:val="nil"/>
            </w:tcBorders>
            <w:shd w:val="clear" w:color="000000" w:fill="FFFFFF"/>
            <w:noWrap/>
            <w:vAlign w:val="bottom"/>
            <w:hideMark/>
          </w:tcPr>
          <w:p w:rsidR="00871CF0" w:rsidRPr="004B3EB9" w:rsidRDefault="00871CF0" w:rsidP="00C86B5D">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NA**</w:t>
            </w:r>
          </w:p>
        </w:tc>
      </w:tr>
    </w:tbl>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 p&lt;0</w:t>
      </w:r>
      <w:r w:rsidR="0075054F" w:rsidRPr="004B3EB9">
        <w:rPr>
          <w:rFonts w:ascii="Times New Roman" w:hAnsi="Times New Roman"/>
          <w:sz w:val="20"/>
          <w:szCs w:val="20"/>
        </w:rPr>
        <w:t>.</w:t>
      </w:r>
      <w:r w:rsidRPr="004B3EB9">
        <w:rPr>
          <w:rFonts w:ascii="Times New Roman" w:hAnsi="Times New Roman"/>
          <w:sz w:val="20"/>
          <w:szCs w:val="20"/>
        </w:rPr>
        <w:t>001, F</w:t>
      </w:r>
      <w:r w:rsidR="00996148" w:rsidRPr="004B3EB9">
        <w:rPr>
          <w:rFonts w:ascii="Times New Roman" w:hAnsi="Times New Roman"/>
          <w:sz w:val="20"/>
          <w:szCs w:val="20"/>
        </w:rPr>
        <w:t>i</w:t>
      </w:r>
      <w:r w:rsidRPr="004B3EB9">
        <w:rPr>
          <w:rFonts w:ascii="Times New Roman" w:hAnsi="Times New Roman"/>
          <w:sz w:val="20"/>
          <w:szCs w:val="20"/>
        </w:rPr>
        <w:t>scher</w:t>
      </w:r>
      <w:r w:rsidR="00F54064">
        <w:rPr>
          <w:rFonts w:ascii="Times New Roman" w:hAnsi="Times New Roman"/>
          <w:sz w:val="20"/>
          <w:szCs w:val="20"/>
        </w:rPr>
        <w:t>’</w:t>
      </w:r>
      <w:r w:rsidRPr="004B3EB9">
        <w:rPr>
          <w:rFonts w:ascii="Times New Roman" w:hAnsi="Times New Roman"/>
          <w:sz w:val="20"/>
          <w:szCs w:val="20"/>
        </w:rPr>
        <w:t xml:space="preserve"> s exact test</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w:t>
      </w:r>
      <w:r w:rsidR="00871CF0" w:rsidRPr="004B3EB9">
        <w:rPr>
          <w:rFonts w:ascii="Times New Roman" w:hAnsi="Times New Roman"/>
          <w:sz w:val="20"/>
          <w:szCs w:val="20"/>
        </w:rPr>
        <w:t>Yetersiz</w:t>
      </w:r>
      <w:r w:rsidRPr="004B3EB9">
        <w:rPr>
          <w:rFonts w:ascii="Times New Roman" w:hAnsi="Times New Roman"/>
          <w:sz w:val="20"/>
          <w:szCs w:val="20"/>
        </w:rPr>
        <w:t xml:space="preserve"> veri, numuneler ile yalnızca </w:t>
      </w:r>
      <w:r w:rsidR="00871CF0" w:rsidRPr="004B3EB9">
        <w:rPr>
          <w:rFonts w:ascii="Times New Roman" w:hAnsi="Times New Roman"/>
          <w:sz w:val="20"/>
          <w:szCs w:val="20"/>
        </w:rPr>
        <w:t>iki</w:t>
      </w:r>
      <w:r w:rsidRPr="004B3EB9">
        <w:rPr>
          <w:rFonts w:ascii="Times New Roman" w:hAnsi="Times New Roman"/>
          <w:sz w:val="20"/>
          <w:szCs w:val="20"/>
        </w:rPr>
        <w:t xml:space="preserve"> hasta var</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b/>
          <w:bCs/>
          <w:sz w:val="20"/>
          <w:szCs w:val="20"/>
        </w:rPr>
        <w:t xml:space="preserve">Hematolojik yanıt </w:t>
      </w:r>
      <w:proofErr w:type="gramStart"/>
      <w:r w:rsidRPr="004B3EB9">
        <w:rPr>
          <w:rFonts w:ascii="Times New Roman" w:hAnsi="Times New Roman"/>
          <w:b/>
          <w:bCs/>
          <w:sz w:val="20"/>
          <w:szCs w:val="20"/>
        </w:rPr>
        <w:t>kriterleri</w:t>
      </w:r>
      <w:proofErr w:type="gramEnd"/>
      <w:r w:rsidRPr="004B3EB9">
        <w:rPr>
          <w:rFonts w:ascii="Times New Roman" w:hAnsi="Times New Roman"/>
          <w:b/>
          <w:bCs/>
          <w:sz w:val="20"/>
          <w:szCs w:val="20"/>
        </w:rPr>
        <w:t xml:space="preserve"> (</w:t>
      </w:r>
      <w:r w:rsidR="00871CF0" w:rsidRPr="004B3EB9">
        <w:rPr>
          <w:rFonts w:ascii="Times New Roman" w:hAnsi="Times New Roman"/>
          <w:b/>
          <w:bCs/>
          <w:sz w:val="20"/>
          <w:szCs w:val="20"/>
        </w:rPr>
        <w:t>bütün</w:t>
      </w:r>
      <w:r w:rsidRPr="004B3EB9">
        <w:rPr>
          <w:rFonts w:ascii="Times New Roman" w:hAnsi="Times New Roman"/>
          <w:b/>
          <w:bCs/>
          <w:sz w:val="20"/>
          <w:szCs w:val="20"/>
        </w:rPr>
        <w:t xml:space="preserve"> yanıtlar </w:t>
      </w:r>
      <w:r w:rsidR="00871CF0" w:rsidRPr="004B3EB9">
        <w:rPr>
          <w:rFonts w:ascii="Times New Roman" w:hAnsi="Times New Roman"/>
          <w:b/>
          <w:bCs/>
          <w:sz w:val="20"/>
          <w:szCs w:val="20"/>
        </w:rPr>
        <w:t>≥</w:t>
      </w:r>
      <w:r w:rsidRPr="004B3EB9">
        <w:rPr>
          <w:rFonts w:ascii="Times New Roman" w:hAnsi="Times New Roman"/>
          <w:b/>
          <w:bCs/>
          <w:sz w:val="20"/>
          <w:szCs w:val="20"/>
        </w:rPr>
        <w:t>4 hafta sonra doğrulanma</w:t>
      </w:r>
      <w:r w:rsidR="00871CF0" w:rsidRPr="004B3EB9">
        <w:rPr>
          <w:rFonts w:ascii="Times New Roman" w:hAnsi="Times New Roman"/>
          <w:b/>
          <w:bCs/>
          <w:sz w:val="20"/>
          <w:szCs w:val="20"/>
        </w:rPr>
        <w:t>lı</w:t>
      </w:r>
      <w:r w:rsidRPr="004B3EB9">
        <w:rPr>
          <w:rFonts w:ascii="Times New Roman" w:hAnsi="Times New Roman"/>
          <w:b/>
          <w:bCs/>
          <w:sz w:val="20"/>
          <w:szCs w:val="20"/>
        </w:rPr>
        <w:t>dır):</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 xml:space="preserve">Kandaki </w:t>
      </w:r>
      <w:r w:rsidR="00871CF0" w:rsidRPr="004B3EB9">
        <w:rPr>
          <w:rFonts w:ascii="Times New Roman" w:hAnsi="Times New Roman"/>
          <w:sz w:val="20"/>
          <w:szCs w:val="20"/>
        </w:rPr>
        <w:t>lökosit</w:t>
      </w:r>
      <w:r w:rsidRPr="004B3EB9">
        <w:rPr>
          <w:rFonts w:ascii="Times New Roman" w:hAnsi="Times New Roman"/>
          <w:sz w:val="20"/>
          <w:szCs w:val="20"/>
        </w:rPr>
        <w:t xml:space="preserve"> sayısı &lt; 10 xl0</w:t>
      </w:r>
      <w:r w:rsidRPr="004B3EB9">
        <w:rPr>
          <w:rFonts w:ascii="Times New Roman" w:hAnsi="Times New Roman"/>
          <w:sz w:val="20"/>
          <w:szCs w:val="20"/>
          <w:vertAlign w:val="superscript"/>
        </w:rPr>
        <w:t>9</w:t>
      </w:r>
      <w:r w:rsidRPr="004B3EB9">
        <w:rPr>
          <w:rFonts w:ascii="Times New Roman" w:hAnsi="Times New Roman"/>
          <w:sz w:val="20"/>
          <w:szCs w:val="20"/>
        </w:rPr>
        <w:t>/L</w:t>
      </w:r>
      <w:r w:rsidR="0075054F" w:rsidRPr="004B3EB9">
        <w:rPr>
          <w:rFonts w:ascii="Times New Roman" w:hAnsi="Times New Roman"/>
          <w:sz w:val="20"/>
          <w:szCs w:val="20"/>
        </w:rPr>
        <w:t>,</w:t>
      </w:r>
      <w:r w:rsidRPr="004B3EB9">
        <w:rPr>
          <w:rFonts w:ascii="Times New Roman" w:hAnsi="Times New Roman"/>
          <w:sz w:val="20"/>
          <w:szCs w:val="20"/>
        </w:rPr>
        <w:t xml:space="preserve"> trombosit sayısı &lt; 450 xl0</w:t>
      </w:r>
      <w:r w:rsidRPr="004B3EB9">
        <w:rPr>
          <w:rFonts w:ascii="Times New Roman" w:hAnsi="Times New Roman"/>
          <w:sz w:val="20"/>
          <w:szCs w:val="20"/>
          <w:vertAlign w:val="superscript"/>
        </w:rPr>
        <w:t>9</w:t>
      </w:r>
      <w:r w:rsidR="00871CF0" w:rsidRPr="004B3EB9">
        <w:rPr>
          <w:rFonts w:ascii="Times New Roman" w:hAnsi="Times New Roman"/>
          <w:sz w:val="20"/>
          <w:szCs w:val="20"/>
        </w:rPr>
        <w:t>/L, miyelosit+metami</w:t>
      </w:r>
      <w:r w:rsidR="0075054F" w:rsidRPr="004B3EB9">
        <w:rPr>
          <w:rFonts w:ascii="Times New Roman" w:hAnsi="Times New Roman"/>
          <w:sz w:val="20"/>
          <w:szCs w:val="20"/>
        </w:rPr>
        <w:t>yelosi</w:t>
      </w:r>
      <w:r w:rsidRPr="004B3EB9">
        <w:rPr>
          <w:rFonts w:ascii="Times New Roman" w:hAnsi="Times New Roman"/>
          <w:sz w:val="20"/>
          <w:szCs w:val="20"/>
        </w:rPr>
        <w:t>t &lt; %5</w:t>
      </w:r>
      <w:r w:rsidR="00D8167A">
        <w:rPr>
          <w:rFonts w:ascii="Times New Roman" w:hAnsi="Times New Roman"/>
          <w:sz w:val="20"/>
          <w:szCs w:val="20"/>
        </w:rPr>
        <w:t>;</w:t>
      </w:r>
      <w:r w:rsidR="00D8167A" w:rsidRPr="004B3EB9">
        <w:rPr>
          <w:rFonts w:ascii="Times New Roman" w:hAnsi="Times New Roman"/>
          <w:sz w:val="20"/>
          <w:szCs w:val="20"/>
        </w:rPr>
        <w:t xml:space="preserve"> </w:t>
      </w:r>
      <w:r w:rsidRPr="004B3EB9">
        <w:rPr>
          <w:rFonts w:ascii="Times New Roman" w:hAnsi="Times New Roman"/>
          <w:sz w:val="20"/>
          <w:szCs w:val="20"/>
        </w:rPr>
        <w:t>kanda blast hücresi veya</w:t>
      </w:r>
      <w:r w:rsidR="00871CF0" w:rsidRPr="004B3EB9">
        <w:rPr>
          <w:rFonts w:ascii="Times New Roman" w:hAnsi="Times New Roman"/>
          <w:sz w:val="20"/>
          <w:szCs w:val="20"/>
        </w:rPr>
        <w:t xml:space="preserve"> promi</w:t>
      </w:r>
      <w:r w:rsidRPr="004B3EB9">
        <w:rPr>
          <w:rFonts w:ascii="Times New Roman" w:hAnsi="Times New Roman"/>
          <w:sz w:val="20"/>
          <w:szCs w:val="20"/>
        </w:rPr>
        <w:t>yelos</w:t>
      </w:r>
      <w:r w:rsidR="00871CF0" w:rsidRPr="004B3EB9">
        <w:rPr>
          <w:rFonts w:ascii="Times New Roman" w:hAnsi="Times New Roman"/>
          <w:sz w:val="20"/>
          <w:szCs w:val="20"/>
        </w:rPr>
        <w:t>i</w:t>
      </w:r>
      <w:r w:rsidRPr="004B3EB9">
        <w:rPr>
          <w:rFonts w:ascii="Times New Roman" w:hAnsi="Times New Roman"/>
          <w:sz w:val="20"/>
          <w:szCs w:val="20"/>
        </w:rPr>
        <w:t xml:space="preserve">t yok, bazofiller &lt;%20, kemik </w:t>
      </w:r>
      <w:r w:rsidR="00871CF0" w:rsidRPr="004B3EB9">
        <w:rPr>
          <w:rFonts w:ascii="Times New Roman" w:hAnsi="Times New Roman"/>
          <w:sz w:val="20"/>
          <w:szCs w:val="20"/>
        </w:rPr>
        <w:t>iliği</w:t>
      </w:r>
      <w:r w:rsidRPr="004B3EB9">
        <w:rPr>
          <w:rFonts w:ascii="Times New Roman" w:hAnsi="Times New Roman"/>
          <w:sz w:val="20"/>
          <w:szCs w:val="20"/>
        </w:rPr>
        <w:t xml:space="preserve"> dış</w:t>
      </w:r>
      <w:r w:rsidR="00871CF0" w:rsidRPr="004B3EB9">
        <w:rPr>
          <w:rFonts w:ascii="Times New Roman" w:hAnsi="Times New Roman"/>
          <w:sz w:val="20"/>
          <w:szCs w:val="20"/>
        </w:rPr>
        <w:t>ın</w:t>
      </w:r>
      <w:r w:rsidRPr="004B3EB9">
        <w:rPr>
          <w:rFonts w:ascii="Times New Roman" w:hAnsi="Times New Roman"/>
          <w:sz w:val="20"/>
          <w:szCs w:val="20"/>
        </w:rPr>
        <w:t>da hastalık yok</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b/>
          <w:bCs/>
          <w:sz w:val="20"/>
          <w:szCs w:val="20"/>
        </w:rPr>
        <w:t xml:space="preserve">Sitogenetik yanıt </w:t>
      </w:r>
      <w:proofErr w:type="gramStart"/>
      <w:r w:rsidRPr="004B3EB9">
        <w:rPr>
          <w:rFonts w:ascii="Times New Roman" w:hAnsi="Times New Roman"/>
          <w:b/>
          <w:bCs/>
          <w:sz w:val="20"/>
          <w:szCs w:val="20"/>
        </w:rPr>
        <w:t>kriterleri</w:t>
      </w:r>
      <w:proofErr w:type="gramEnd"/>
      <w:r w:rsidRPr="004B3EB9">
        <w:rPr>
          <w:rFonts w:ascii="Times New Roman" w:hAnsi="Times New Roman"/>
          <w:b/>
          <w:bCs/>
          <w:sz w:val="20"/>
          <w:szCs w:val="20"/>
        </w:rPr>
        <w:t xml:space="preserve">: </w:t>
      </w:r>
      <w:r w:rsidRPr="004B3EB9">
        <w:rPr>
          <w:rFonts w:ascii="Times New Roman" w:hAnsi="Times New Roman"/>
          <w:sz w:val="20"/>
          <w:szCs w:val="20"/>
        </w:rPr>
        <w:t xml:space="preserve">tam (%0 Ph+ metafazlar), </w:t>
      </w:r>
      <w:r w:rsidR="00D8167A" w:rsidRPr="004B3EB9">
        <w:rPr>
          <w:rFonts w:ascii="Times New Roman" w:hAnsi="Times New Roman"/>
          <w:sz w:val="20"/>
          <w:szCs w:val="20"/>
        </w:rPr>
        <w:t>kısm</w:t>
      </w:r>
      <w:r w:rsidR="00D8167A">
        <w:rPr>
          <w:rFonts w:ascii="Times New Roman" w:hAnsi="Times New Roman"/>
          <w:sz w:val="20"/>
          <w:szCs w:val="20"/>
        </w:rPr>
        <w:t>i</w:t>
      </w:r>
      <w:r w:rsidR="00D8167A" w:rsidRPr="004B3EB9">
        <w:rPr>
          <w:rFonts w:ascii="Times New Roman" w:hAnsi="Times New Roman"/>
          <w:sz w:val="20"/>
          <w:szCs w:val="20"/>
        </w:rPr>
        <w:t xml:space="preserve"> </w:t>
      </w:r>
      <w:r w:rsidRPr="004B3EB9">
        <w:rPr>
          <w:rFonts w:ascii="Times New Roman" w:hAnsi="Times New Roman"/>
          <w:sz w:val="20"/>
          <w:szCs w:val="20"/>
        </w:rPr>
        <w:t xml:space="preserve">(%l-35), </w:t>
      </w:r>
      <w:r w:rsidR="00871CF0" w:rsidRPr="004B3EB9">
        <w:rPr>
          <w:rFonts w:ascii="Times New Roman" w:hAnsi="Times New Roman"/>
          <w:sz w:val="20"/>
          <w:szCs w:val="20"/>
        </w:rPr>
        <w:t>minor</w:t>
      </w:r>
      <w:r w:rsidRPr="004B3EB9">
        <w:rPr>
          <w:rFonts w:ascii="Times New Roman" w:hAnsi="Times New Roman"/>
          <w:sz w:val="20"/>
          <w:szCs w:val="20"/>
        </w:rPr>
        <w:t xml:space="preserve"> (%36-65)</w:t>
      </w:r>
      <w:r w:rsidR="00871CF0" w:rsidRPr="004B3EB9">
        <w:rPr>
          <w:rFonts w:ascii="Times New Roman" w:hAnsi="Times New Roman"/>
          <w:sz w:val="20"/>
          <w:szCs w:val="20"/>
        </w:rPr>
        <w:t xml:space="preserve"> veya minimal (%66-95) Major yanı</w:t>
      </w:r>
      <w:r w:rsidRPr="004B3EB9">
        <w:rPr>
          <w:rFonts w:ascii="Times New Roman" w:hAnsi="Times New Roman"/>
          <w:sz w:val="20"/>
          <w:szCs w:val="20"/>
        </w:rPr>
        <w:t>t</w:t>
      </w:r>
      <w:r w:rsidR="00871CF0" w:rsidRPr="004B3EB9">
        <w:rPr>
          <w:rFonts w:ascii="Times New Roman" w:hAnsi="Times New Roman"/>
          <w:sz w:val="20"/>
          <w:szCs w:val="20"/>
        </w:rPr>
        <w:t xml:space="preserve"> </w:t>
      </w:r>
      <w:r w:rsidR="00187450" w:rsidRPr="004B3EB9">
        <w:rPr>
          <w:rFonts w:ascii="Times New Roman" w:hAnsi="Times New Roman"/>
          <w:sz w:val="20"/>
          <w:szCs w:val="20"/>
        </w:rPr>
        <w:t>(%0</w:t>
      </w:r>
      <w:r w:rsidR="00141666" w:rsidRPr="004B3EB9">
        <w:rPr>
          <w:rFonts w:ascii="Times New Roman" w:hAnsi="Times New Roman"/>
          <w:sz w:val="20"/>
          <w:szCs w:val="20"/>
        </w:rPr>
        <w:t>-</w:t>
      </w:r>
      <w:r w:rsidRPr="004B3EB9">
        <w:rPr>
          <w:rFonts w:ascii="Times New Roman" w:hAnsi="Times New Roman"/>
          <w:sz w:val="20"/>
          <w:szCs w:val="20"/>
        </w:rPr>
        <w:t>35), hem kısm</w:t>
      </w:r>
      <w:r w:rsidR="00187450" w:rsidRPr="004B3EB9">
        <w:rPr>
          <w:rFonts w:ascii="Times New Roman" w:hAnsi="Times New Roman"/>
          <w:sz w:val="20"/>
          <w:szCs w:val="20"/>
        </w:rPr>
        <w:t>i</w:t>
      </w:r>
      <w:r w:rsidRPr="004B3EB9">
        <w:rPr>
          <w:rFonts w:ascii="Times New Roman" w:hAnsi="Times New Roman"/>
          <w:sz w:val="20"/>
          <w:szCs w:val="20"/>
        </w:rPr>
        <w:t xml:space="preserve"> hem tam yanıtları içerir [1]</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b/>
          <w:bCs/>
          <w:sz w:val="20"/>
          <w:szCs w:val="20"/>
        </w:rPr>
        <w:t>Major moleküler ya</w:t>
      </w:r>
      <w:r w:rsidR="00871CF0" w:rsidRPr="004B3EB9">
        <w:rPr>
          <w:rFonts w:ascii="Times New Roman" w:hAnsi="Times New Roman"/>
          <w:b/>
          <w:bCs/>
          <w:sz w:val="20"/>
          <w:szCs w:val="20"/>
        </w:rPr>
        <w:t>nı</w:t>
      </w:r>
      <w:r w:rsidRPr="004B3EB9">
        <w:rPr>
          <w:rFonts w:ascii="Times New Roman" w:hAnsi="Times New Roman"/>
          <w:b/>
          <w:bCs/>
          <w:sz w:val="20"/>
          <w:szCs w:val="20"/>
        </w:rPr>
        <w:t xml:space="preserve">t kriterleri: </w:t>
      </w:r>
      <w:r w:rsidRPr="004B3EB9">
        <w:rPr>
          <w:rFonts w:ascii="Times New Roman" w:hAnsi="Times New Roman"/>
          <w:sz w:val="20"/>
          <w:szCs w:val="20"/>
        </w:rPr>
        <w:t xml:space="preserve">Gerçek-zaman </w:t>
      </w:r>
      <w:proofErr w:type="gramStart"/>
      <w:r w:rsidR="00871CF0" w:rsidRPr="004B3EB9">
        <w:rPr>
          <w:rFonts w:ascii="Times New Roman" w:hAnsi="Times New Roman"/>
          <w:sz w:val="20"/>
          <w:szCs w:val="20"/>
        </w:rPr>
        <w:t>kantitatif</w:t>
      </w:r>
      <w:proofErr w:type="gramEnd"/>
      <w:r w:rsidR="00871CF0" w:rsidRPr="004B3EB9">
        <w:rPr>
          <w:rFonts w:ascii="Times New Roman" w:hAnsi="Times New Roman"/>
          <w:sz w:val="20"/>
          <w:szCs w:val="20"/>
        </w:rPr>
        <w:t xml:space="preserve"> revers kriptaz poli</w:t>
      </w:r>
      <w:r w:rsidRPr="004B3EB9">
        <w:rPr>
          <w:rFonts w:ascii="Times New Roman" w:hAnsi="Times New Roman"/>
          <w:sz w:val="20"/>
          <w:szCs w:val="20"/>
        </w:rPr>
        <w:t>meraz zincir reaksiyonuyla ölçülen BCR-ABL</w:t>
      </w:r>
      <w:r w:rsidR="00871CF0" w:rsidRPr="004B3EB9">
        <w:rPr>
          <w:rFonts w:ascii="Times New Roman" w:hAnsi="Times New Roman"/>
          <w:sz w:val="20"/>
          <w:szCs w:val="20"/>
        </w:rPr>
        <w:t xml:space="preserve"> transkri</w:t>
      </w:r>
      <w:r w:rsidRPr="004B3EB9">
        <w:rPr>
          <w:rFonts w:ascii="Times New Roman" w:hAnsi="Times New Roman"/>
          <w:sz w:val="20"/>
          <w:szCs w:val="20"/>
        </w:rPr>
        <w:t>ptler</w:t>
      </w:r>
      <w:r w:rsidR="00871CF0" w:rsidRPr="004B3EB9">
        <w:rPr>
          <w:rFonts w:ascii="Times New Roman" w:hAnsi="Times New Roman"/>
          <w:sz w:val="20"/>
          <w:szCs w:val="20"/>
        </w:rPr>
        <w:t>inin periferik kanda, başlangıç düzeyin</w:t>
      </w:r>
      <w:r w:rsidRPr="004B3EB9">
        <w:rPr>
          <w:rFonts w:ascii="Times New Roman" w:hAnsi="Times New Roman"/>
          <w:sz w:val="20"/>
          <w:szCs w:val="20"/>
        </w:rPr>
        <w:t>e göre en az 3 log azalması</w:t>
      </w:r>
    </w:p>
    <w:p w:rsidR="00871CF0" w:rsidRPr="004B3EB9" w:rsidRDefault="00871CF0" w:rsidP="00C86B5D">
      <w:pPr>
        <w:spacing w:after="0"/>
        <w:jc w:val="both"/>
        <w:rPr>
          <w:rFonts w:ascii="Times New Roman" w:hAnsi="Times New Roman"/>
          <w:sz w:val="20"/>
          <w:szCs w:val="20"/>
        </w:rPr>
      </w:pPr>
    </w:p>
    <w:p w:rsidR="00996148" w:rsidRDefault="009E236D" w:rsidP="00C86B5D">
      <w:pPr>
        <w:spacing w:after="0"/>
        <w:jc w:val="both"/>
        <w:rPr>
          <w:rFonts w:ascii="Times New Roman" w:hAnsi="Times New Roman"/>
          <w:sz w:val="24"/>
          <w:szCs w:val="24"/>
        </w:rPr>
      </w:pPr>
      <w:r w:rsidRPr="004B3EB9">
        <w:rPr>
          <w:rFonts w:ascii="Times New Roman" w:hAnsi="Times New Roman"/>
          <w:sz w:val="24"/>
          <w:szCs w:val="24"/>
        </w:rPr>
        <w:t>İ</w:t>
      </w:r>
      <w:r w:rsidR="00F3186B" w:rsidRPr="004B3EB9">
        <w:rPr>
          <w:rFonts w:ascii="Times New Roman" w:hAnsi="Times New Roman"/>
          <w:sz w:val="24"/>
          <w:szCs w:val="24"/>
        </w:rPr>
        <w:t>matinib</w:t>
      </w:r>
      <w:r w:rsidR="00396DF1" w:rsidRPr="004B3EB9">
        <w:rPr>
          <w:rFonts w:ascii="Times New Roman" w:hAnsi="Times New Roman"/>
          <w:sz w:val="24"/>
          <w:szCs w:val="24"/>
        </w:rPr>
        <w:t xml:space="preserve"> </w:t>
      </w:r>
      <w:r w:rsidR="00871CF0" w:rsidRPr="004B3EB9">
        <w:rPr>
          <w:rFonts w:ascii="Times New Roman" w:hAnsi="Times New Roman"/>
          <w:sz w:val="24"/>
          <w:szCs w:val="24"/>
        </w:rPr>
        <w:t>il</w:t>
      </w:r>
      <w:r w:rsidR="00396DF1" w:rsidRPr="004B3EB9">
        <w:rPr>
          <w:rFonts w:ascii="Times New Roman" w:hAnsi="Times New Roman"/>
          <w:sz w:val="24"/>
          <w:szCs w:val="24"/>
        </w:rPr>
        <w:t xml:space="preserve">e birinci seçenek tedavinin </w:t>
      </w:r>
      <w:proofErr w:type="gramStart"/>
      <w:r w:rsidR="00396DF1" w:rsidRPr="004B3EB9">
        <w:rPr>
          <w:rFonts w:ascii="Times New Roman" w:hAnsi="Times New Roman"/>
          <w:sz w:val="24"/>
          <w:szCs w:val="24"/>
        </w:rPr>
        <w:t>kümülatif</w:t>
      </w:r>
      <w:proofErr w:type="gramEnd"/>
      <w:r w:rsidR="00396DF1" w:rsidRPr="004B3EB9">
        <w:rPr>
          <w:rFonts w:ascii="Times New Roman" w:hAnsi="Times New Roman"/>
          <w:sz w:val="24"/>
          <w:szCs w:val="24"/>
        </w:rPr>
        <w:t xml:space="preserve"> yanıt </w:t>
      </w:r>
      <w:r w:rsidR="00791617" w:rsidRPr="004B3EB9">
        <w:rPr>
          <w:rFonts w:ascii="Times New Roman" w:hAnsi="Times New Roman"/>
          <w:sz w:val="24"/>
          <w:szCs w:val="24"/>
        </w:rPr>
        <w:t>oranları</w:t>
      </w:r>
      <w:r w:rsidR="00396DF1" w:rsidRPr="004B3EB9">
        <w:rPr>
          <w:rFonts w:ascii="Times New Roman" w:hAnsi="Times New Roman"/>
          <w:sz w:val="24"/>
          <w:szCs w:val="24"/>
        </w:rPr>
        <w:t xml:space="preserve"> Tablo 3</w:t>
      </w:r>
      <w:r w:rsidR="00F54064">
        <w:rPr>
          <w:rFonts w:ascii="Times New Roman" w:hAnsi="Times New Roman"/>
          <w:sz w:val="24"/>
          <w:szCs w:val="24"/>
        </w:rPr>
        <w:t>’</w:t>
      </w:r>
      <w:r w:rsidR="00396DF1" w:rsidRPr="004B3EB9">
        <w:rPr>
          <w:rFonts w:ascii="Times New Roman" w:hAnsi="Times New Roman"/>
          <w:sz w:val="24"/>
          <w:szCs w:val="24"/>
        </w:rPr>
        <w:t>te gösterilmektedir.</w:t>
      </w:r>
    </w:p>
    <w:tbl>
      <w:tblPr>
        <w:tblW w:w="8580" w:type="dxa"/>
        <w:tblInd w:w="57" w:type="dxa"/>
        <w:tblCellMar>
          <w:left w:w="70" w:type="dxa"/>
          <w:right w:w="70" w:type="dxa"/>
        </w:tblCellMar>
        <w:tblLook w:val="04A0"/>
      </w:tblPr>
      <w:tblGrid>
        <w:gridCol w:w="3360"/>
        <w:gridCol w:w="2500"/>
        <w:gridCol w:w="1760"/>
        <w:gridCol w:w="960"/>
      </w:tblGrid>
      <w:tr w:rsidR="00996148" w:rsidRPr="004B3EB9" w:rsidTr="00996148">
        <w:trPr>
          <w:trHeight w:val="300"/>
        </w:trPr>
        <w:tc>
          <w:tcPr>
            <w:tcW w:w="8580" w:type="dxa"/>
            <w:gridSpan w:val="4"/>
            <w:tcBorders>
              <w:top w:val="nil"/>
              <w:left w:val="nil"/>
              <w:bottom w:val="single" w:sz="4" w:space="0" w:color="auto"/>
              <w:right w:val="nil"/>
            </w:tcBorders>
            <w:shd w:val="clear" w:color="auto" w:fill="auto"/>
            <w:noWrap/>
            <w:vAlign w:val="bottom"/>
            <w:hideMark/>
          </w:tcPr>
          <w:p w:rsidR="00996148" w:rsidRPr="004B3EB9" w:rsidRDefault="00996148" w:rsidP="00C86B5D">
            <w:pPr>
              <w:spacing w:after="0"/>
              <w:jc w:val="center"/>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 xml:space="preserve">Tablo </w:t>
            </w:r>
            <w:proofErr w:type="gramStart"/>
            <w:r w:rsidRPr="004B3EB9">
              <w:rPr>
                <w:rFonts w:ascii="Times New Roman" w:eastAsia="Times New Roman" w:hAnsi="Times New Roman"/>
                <w:b/>
                <w:bCs/>
                <w:sz w:val="20"/>
                <w:szCs w:val="20"/>
                <w:lang w:eastAsia="tr-TR"/>
              </w:rPr>
              <w:t>3       Birinci</w:t>
            </w:r>
            <w:proofErr w:type="gramEnd"/>
            <w:r w:rsidRPr="004B3EB9">
              <w:rPr>
                <w:rFonts w:ascii="Times New Roman" w:eastAsia="Times New Roman" w:hAnsi="Times New Roman"/>
                <w:b/>
                <w:bCs/>
                <w:sz w:val="20"/>
                <w:szCs w:val="20"/>
                <w:lang w:eastAsia="tr-TR"/>
              </w:rPr>
              <w:t xml:space="preserve"> seçenek </w:t>
            </w:r>
            <w:r w:rsidR="003B1BCC" w:rsidRPr="004B3EB9">
              <w:rPr>
                <w:rFonts w:ascii="Times New Roman" w:eastAsia="Times New Roman" w:hAnsi="Times New Roman"/>
                <w:b/>
                <w:bCs/>
                <w:sz w:val="20"/>
                <w:szCs w:val="20"/>
                <w:lang w:eastAsia="tr-TR"/>
              </w:rPr>
              <w:t xml:space="preserve">imatinib </w:t>
            </w:r>
            <w:r w:rsidRPr="004B3EB9">
              <w:rPr>
                <w:rFonts w:ascii="Times New Roman" w:eastAsia="Times New Roman" w:hAnsi="Times New Roman"/>
                <w:b/>
                <w:bCs/>
                <w:sz w:val="20"/>
                <w:szCs w:val="20"/>
                <w:lang w:eastAsia="tr-TR"/>
              </w:rPr>
              <w:t>tedavisine verilen kümülatif yanıt tahmini</w:t>
            </w:r>
          </w:p>
        </w:tc>
      </w:tr>
      <w:tr w:rsidR="00996148" w:rsidRPr="004B3EB9" w:rsidTr="00385FEC">
        <w:trPr>
          <w:trHeight w:hRule="exact" w:val="315"/>
        </w:trPr>
        <w:tc>
          <w:tcPr>
            <w:tcW w:w="3360" w:type="dxa"/>
            <w:tcBorders>
              <w:top w:val="nil"/>
              <w:left w:val="nil"/>
              <w:bottom w:val="single" w:sz="4" w:space="0" w:color="auto"/>
              <w:right w:val="nil"/>
            </w:tcBorders>
            <w:shd w:val="clear" w:color="auto" w:fill="auto"/>
            <w:noWrap/>
            <w:vAlign w:val="bottom"/>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Tedavide geçen aylar</w:t>
            </w:r>
          </w:p>
        </w:tc>
        <w:tc>
          <w:tcPr>
            <w:tcW w:w="2500" w:type="dxa"/>
            <w:tcBorders>
              <w:top w:val="nil"/>
              <w:left w:val="nil"/>
              <w:bottom w:val="single" w:sz="4" w:space="0" w:color="auto"/>
              <w:right w:val="nil"/>
            </w:tcBorders>
            <w:shd w:val="clear" w:color="000000" w:fill="FFFFFF"/>
            <w:vAlign w:val="bottom"/>
            <w:hideMark/>
          </w:tcPr>
          <w:p w:rsidR="00996148" w:rsidRPr="004B3EB9" w:rsidRDefault="00996148" w:rsidP="00C86B5D">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%THY</w:t>
            </w:r>
          </w:p>
        </w:tc>
        <w:tc>
          <w:tcPr>
            <w:tcW w:w="1760" w:type="dxa"/>
            <w:tcBorders>
              <w:top w:val="nil"/>
              <w:left w:val="nil"/>
              <w:bottom w:val="single" w:sz="4" w:space="0" w:color="auto"/>
              <w:right w:val="nil"/>
            </w:tcBorders>
            <w:shd w:val="clear" w:color="auto" w:fill="auto"/>
            <w:noWrap/>
            <w:vAlign w:val="bottom"/>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%MSY</w:t>
            </w:r>
          </w:p>
        </w:tc>
        <w:tc>
          <w:tcPr>
            <w:tcW w:w="960" w:type="dxa"/>
            <w:tcBorders>
              <w:top w:val="nil"/>
              <w:left w:val="nil"/>
              <w:bottom w:val="single" w:sz="4" w:space="0" w:color="auto"/>
              <w:right w:val="nil"/>
            </w:tcBorders>
            <w:shd w:val="clear" w:color="auto" w:fill="auto"/>
            <w:noWrap/>
            <w:vAlign w:val="bottom"/>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%TSY</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12 ay</w:t>
            </w:r>
          </w:p>
        </w:tc>
        <w:tc>
          <w:tcPr>
            <w:tcW w:w="250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%96</w:t>
            </w:r>
            <w:r w:rsidR="00187450" w:rsidRPr="004B3EB9">
              <w:rPr>
                <w:rFonts w:ascii="Times New Roman" w:eastAsia="Times New Roman" w:hAnsi="Times New Roman"/>
                <w:sz w:val="20"/>
                <w:szCs w:val="20"/>
                <w:lang w:eastAsia="tr-TR"/>
              </w:rPr>
              <w:t>.</w:t>
            </w:r>
            <w:r w:rsidRPr="004B3EB9">
              <w:rPr>
                <w:rFonts w:ascii="Times New Roman" w:eastAsia="Times New Roman" w:hAnsi="Times New Roman"/>
                <w:sz w:val="20"/>
                <w:szCs w:val="20"/>
                <w:lang w:eastAsia="tr-TR"/>
              </w:rPr>
              <w:t>4</w:t>
            </w:r>
          </w:p>
        </w:tc>
        <w:tc>
          <w:tcPr>
            <w:tcW w:w="17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84.6</w:t>
            </w:r>
          </w:p>
        </w:tc>
        <w:tc>
          <w:tcPr>
            <w:tcW w:w="9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69.5</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24 ay</w:t>
            </w:r>
          </w:p>
        </w:tc>
        <w:tc>
          <w:tcPr>
            <w:tcW w:w="2500" w:type="dxa"/>
            <w:tcBorders>
              <w:top w:val="nil"/>
              <w:left w:val="nil"/>
              <w:bottom w:val="nil"/>
              <w:right w:val="nil"/>
            </w:tcBorders>
            <w:shd w:val="clear" w:color="000000" w:fill="FFFFFF"/>
            <w:hideMark/>
          </w:tcPr>
          <w:p w:rsidR="00996148" w:rsidRPr="004B3EB9" w:rsidRDefault="0018745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%97.</w:t>
            </w:r>
            <w:r w:rsidR="00996148" w:rsidRPr="004B3EB9">
              <w:rPr>
                <w:rFonts w:ascii="Times New Roman" w:eastAsia="Times New Roman" w:hAnsi="Times New Roman"/>
                <w:sz w:val="20"/>
                <w:szCs w:val="20"/>
                <w:lang w:eastAsia="tr-TR"/>
              </w:rPr>
              <w:t>2</w:t>
            </w:r>
          </w:p>
        </w:tc>
        <w:tc>
          <w:tcPr>
            <w:tcW w:w="17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89.5</w:t>
            </w:r>
          </w:p>
        </w:tc>
        <w:tc>
          <w:tcPr>
            <w:tcW w:w="9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79.7</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36 ay</w:t>
            </w:r>
          </w:p>
        </w:tc>
        <w:tc>
          <w:tcPr>
            <w:tcW w:w="2500" w:type="dxa"/>
            <w:tcBorders>
              <w:top w:val="nil"/>
              <w:left w:val="nil"/>
              <w:bottom w:val="nil"/>
              <w:right w:val="nil"/>
            </w:tcBorders>
            <w:shd w:val="clear" w:color="000000" w:fill="FFFFFF"/>
            <w:hideMark/>
          </w:tcPr>
          <w:p w:rsidR="00996148" w:rsidRPr="004B3EB9" w:rsidRDefault="0018745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%97.</w:t>
            </w:r>
            <w:r w:rsidR="00996148" w:rsidRPr="004B3EB9">
              <w:rPr>
                <w:rFonts w:ascii="Times New Roman" w:eastAsia="Times New Roman" w:hAnsi="Times New Roman"/>
                <w:sz w:val="20"/>
                <w:szCs w:val="20"/>
                <w:lang w:eastAsia="tr-TR"/>
              </w:rPr>
              <w:t>2</w:t>
            </w:r>
          </w:p>
        </w:tc>
        <w:tc>
          <w:tcPr>
            <w:tcW w:w="17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91.1</w:t>
            </w:r>
          </w:p>
        </w:tc>
        <w:tc>
          <w:tcPr>
            <w:tcW w:w="9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83.6</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48 ay</w:t>
            </w:r>
          </w:p>
        </w:tc>
        <w:tc>
          <w:tcPr>
            <w:tcW w:w="2500" w:type="dxa"/>
            <w:tcBorders>
              <w:top w:val="nil"/>
              <w:left w:val="nil"/>
              <w:bottom w:val="nil"/>
              <w:right w:val="nil"/>
            </w:tcBorders>
            <w:shd w:val="clear" w:color="000000" w:fill="FFFFFF"/>
            <w:hideMark/>
          </w:tcPr>
          <w:p w:rsidR="00996148" w:rsidRPr="004B3EB9" w:rsidRDefault="0018745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%98.</w:t>
            </w:r>
            <w:r w:rsidR="00996148" w:rsidRPr="004B3EB9">
              <w:rPr>
                <w:rFonts w:ascii="Times New Roman" w:eastAsia="Times New Roman" w:hAnsi="Times New Roman"/>
                <w:sz w:val="20"/>
                <w:szCs w:val="20"/>
                <w:lang w:eastAsia="tr-TR"/>
              </w:rPr>
              <w:t>2</w:t>
            </w:r>
          </w:p>
        </w:tc>
        <w:tc>
          <w:tcPr>
            <w:tcW w:w="17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91.9</w:t>
            </w:r>
          </w:p>
        </w:tc>
        <w:tc>
          <w:tcPr>
            <w:tcW w:w="9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85.2</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60 ay</w:t>
            </w:r>
          </w:p>
        </w:tc>
        <w:tc>
          <w:tcPr>
            <w:tcW w:w="2500" w:type="dxa"/>
            <w:tcBorders>
              <w:top w:val="nil"/>
              <w:left w:val="nil"/>
              <w:bottom w:val="nil"/>
              <w:right w:val="nil"/>
            </w:tcBorders>
            <w:shd w:val="clear" w:color="000000" w:fill="FFFFFF"/>
            <w:hideMark/>
          </w:tcPr>
          <w:p w:rsidR="00996148" w:rsidRPr="004B3EB9" w:rsidRDefault="0018745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%98.</w:t>
            </w:r>
            <w:r w:rsidR="00996148" w:rsidRPr="004B3EB9">
              <w:rPr>
                <w:rFonts w:ascii="Times New Roman" w:eastAsia="Times New Roman" w:hAnsi="Times New Roman"/>
                <w:sz w:val="20"/>
                <w:szCs w:val="20"/>
                <w:lang w:eastAsia="tr-TR"/>
              </w:rPr>
              <w:t>4</w:t>
            </w:r>
          </w:p>
        </w:tc>
        <w:tc>
          <w:tcPr>
            <w:tcW w:w="17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91.9</w:t>
            </w:r>
          </w:p>
        </w:tc>
        <w:tc>
          <w:tcPr>
            <w:tcW w:w="960" w:type="dxa"/>
            <w:tcBorders>
              <w:top w:val="nil"/>
              <w:left w:val="nil"/>
              <w:bottom w:val="nil"/>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86.7</w:t>
            </w:r>
          </w:p>
        </w:tc>
      </w:tr>
      <w:tr w:rsidR="00996148" w:rsidRPr="004B3EB9" w:rsidTr="00996148">
        <w:trPr>
          <w:trHeight w:hRule="exact" w:val="315"/>
        </w:trPr>
        <w:tc>
          <w:tcPr>
            <w:tcW w:w="3360" w:type="dxa"/>
            <w:tcBorders>
              <w:top w:val="nil"/>
              <w:left w:val="nil"/>
              <w:bottom w:val="single" w:sz="4" w:space="0" w:color="auto"/>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84 ay</w:t>
            </w:r>
          </w:p>
        </w:tc>
        <w:tc>
          <w:tcPr>
            <w:tcW w:w="2500" w:type="dxa"/>
            <w:tcBorders>
              <w:top w:val="nil"/>
              <w:left w:val="nil"/>
              <w:bottom w:val="single" w:sz="4" w:space="0" w:color="auto"/>
              <w:right w:val="nil"/>
            </w:tcBorders>
            <w:shd w:val="clear" w:color="000000" w:fill="FFFFFF"/>
            <w:hideMark/>
          </w:tcPr>
          <w:p w:rsidR="00996148" w:rsidRPr="004B3EB9" w:rsidRDefault="00187450"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%98.</w:t>
            </w:r>
            <w:r w:rsidR="00996148" w:rsidRPr="004B3EB9">
              <w:rPr>
                <w:rFonts w:ascii="Times New Roman" w:eastAsia="Times New Roman" w:hAnsi="Times New Roman"/>
                <w:sz w:val="20"/>
                <w:szCs w:val="20"/>
                <w:lang w:eastAsia="tr-TR"/>
              </w:rPr>
              <w:t>4</w:t>
            </w:r>
          </w:p>
        </w:tc>
        <w:tc>
          <w:tcPr>
            <w:tcW w:w="1760" w:type="dxa"/>
            <w:tcBorders>
              <w:top w:val="nil"/>
              <w:left w:val="nil"/>
              <w:bottom w:val="single" w:sz="4" w:space="0" w:color="auto"/>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91.9</w:t>
            </w:r>
          </w:p>
        </w:tc>
        <w:tc>
          <w:tcPr>
            <w:tcW w:w="960" w:type="dxa"/>
            <w:tcBorders>
              <w:top w:val="nil"/>
              <w:left w:val="nil"/>
              <w:bottom w:val="single" w:sz="4" w:space="0" w:color="auto"/>
              <w:right w:val="nil"/>
            </w:tcBorders>
            <w:shd w:val="clear" w:color="000000" w:fill="FFFFFF"/>
            <w:hideMark/>
          </w:tcPr>
          <w:p w:rsidR="00996148" w:rsidRPr="004B3EB9" w:rsidRDefault="00996148"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87.2</w:t>
            </w:r>
          </w:p>
        </w:tc>
      </w:tr>
    </w:tbl>
    <w:p w:rsidR="00996148" w:rsidRPr="004B3EB9" w:rsidRDefault="00996148" w:rsidP="00C86B5D">
      <w:pPr>
        <w:spacing w:after="0"/>
        <w:jc w:val="both"/>
        <w:rPr>
          <w:rFonts w:ascii="Times New Roman" w:hAnsi="Times New Roman"/>
          <w:b/>
          <w:bCs/>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7 yı</w:t>
      </w:r>
      <w:r w:rsidR="006B1585" w:rsidRPr="004B3EB9">
        <w:rPr>
          <w:rFonts w:ascii="Times New Roman" w:hAnsi="Times New Roman"/>
          <w:sz w:val="24"/>
          <w:szCs w:val="24"/>
        </w:rPr>
        <w:t>ll</w:t>
      </w:r>
      <w:r w:rsidRPr="004B3EB9">
        <w:rPr>
          <w:rFonts w:ascii="Times New Roman" w:hAnsi="Times New Roman"/>
          <w:sz w:val="24"/>
          <w:szCs w:val="24"/>
        </w:rPr>
        <w:t xml:space="preserve">ık takipte, </w:t>
      </w:r>
      <w:r w:rsidR="00996148" w:rsidRPr="004B3EB9">
        <w:rPr>
          <w:rFonts w:ascii="Times New Roman" w:hAnsi="Times New Roman"/>
          <w:sz w:val="24"/>
          <w:szCs w:val="24"/>
        </w:rPr>
        <w:t>imatinib</w:t>
      </w:r>
      <w:r w:rsidRPr="004B3EB9">
        <w:rPr>
          <w:rFonts w:ascii="Times New Roman" w:hAnsi="Times New Roman"/>
          <w:sz w:val="24"/>
          <w:szCs w:val="24"/>
        </w:rPr>
        <w:t xml:space="preserve"> grubunda 93 (%</w:t>
      </w:r>
      <w:proofErr w:type="gramStart"/>
      <w:r w:rsidRPr="004B3EB9">
        <w:rPr>
          <w:rFonts w:ascii="Times New Roman" w:hAnsi="Times New Roman"/>
          <w:sz w:val="24"/>
          <w:szCs w:val="24"/>
        </w:rPr>
        <w:t>16.8</w:t>
      </w:r>
      <w:proofErr w:type="gramEnd"/>
      <w:r w:rsidRPr="004B3EB9">
        <w:rPr>
          <w:rFonts w:ascii="Times New Roman" w:hAnsi="Times New Roman"/>
          <w:sz w:val="24"/>
          <w:szCs w:val="24"/>
        </w:rPr>
        <w:t>) olay olmuştur: 37 (%6.7) AF/BK</w:t>
      </w:r>
      <w:r w:rsidR="00F54064">
        <w:rPr>
          <w:rFonts w:ascii="Times New Roman" w:hAnsi="Times New Roman"/>
          <w:sz w:val="24"/>
          <w:szCs w:val="24"/>
        </w:rPr>
        <w:t>’</w:t>
      </w:r>
      <w:r w:rsidRPr="004B3EB9">
        <w:rPr>
          <w:rFonts w:ascii="Times New Roman" w:hAnsi="Times New Roman"/>
          <w:sz w:val="24"/>
          <w:szCs w:val="24"/>
        </w:rPr>
        <w:t xml:space="preserve">ye </w:t>
      </w:r>
      <w:r w:rsidR="00996148" w:rsidRPr="004B3EB9">
        <w:rPr>
          <w:rFonts w:ascii="Times New Roman" w:hAnsi="Times New Roman"/>
          <w:sz w:val="24"/>
          <w:szCs w:val="24"/>
        </w:rPr>
        <w:t>il</w:t>
      </w:r>
      <w:r w:rsidRPr="004B3EB9">
        <w:rPr>
          <w:rFonts w:ascii="Times New Roman" w:hAnsi="Times New Roman"/>
          <w:sz w:val="24"/>
          <w:szCs w:val="24"/>
        </w:rPr>
        <w:t>erleme, 31 (%5.6) MSY kaybı, 15 (%2.7) THY kaybı ya da WB</w:t>
      </w:r>
      <w:r w:rsidR="00996148" w:rsidRPr="004B3EB9">
        <w:rPr>
          <w:rFonts w:ascii="Times New Roman" w:hAnsi="Times New Roman"/>
          <w:sz w:val="24"/>
          <w:szCs w:val="24"/>
        </w:rPr>
        <w:t>C artışı ve 10 (%1.8) KML ile ili</w:t>
      </w:r>
      <w:r w:rsidRPr="004B3EB9">
        <w:rPr>
          <w:rFonts w:ascii="Times New Roman" w:hAnsi="Times New Roman"/>
          <w:sz w:val="24"/>
          <w:szCs w:val="24"/>
        </w:rPr>
        <w:t>şkisiz ölüm. Buna karşılık IFN+Ara-C grubunda 165 (%</w:t>
      </w:r>
      <w:proofErr w:type="gramStart"/>
      <w:r w:rsidRPr="004B3EB9">
        <w:rPr>
          <w:rFonts w:ascii="Times New Roman" w:hAnsi="Times New Roman"/>
          <w:sz w:val="24"/>
          <w:szCs w:val="24"/>
        </w:rPr>
        <w:t>29.8</w:t>
      </w:r>
      <w:proofErr w:type="gramEnd"/>
      <w:r w:rsidRPr="004B3EB9">
        <w:rPr>
          <w:rFonts w:ascii="Times New Roman" w:hAnsi="Times New Roman"/>
          <w:sz w:val="24"/>
          <w:szCs w:val="24"/>
        </w:rPr>
        <w:t>) olay olmuş ve bunların 130</w:t>
      </w:r>
      <w:r w:rsidR="00F54064">
        <w:rPr>
          <w:rFonts w:ascii="Times New Roman" w:hAnsi="Times New Roman"/>
          <w:sz w:val="24"/>
          <w:szCs w:val="24"/>
        </w:rPr>
        <w:t>’</w:t>
      </w:r>
      <w:r w:rsidRPr="004B3EB9">
        <w:rPr>
          <w:rFonts w:ascii="Times New Roman" w:hAnsi="Times New Roman"/>
          <w:sz w:val="24"/>
          <w:szCs w:val="24"/>
        </w:rPr>
        <w:t>u birinci seçenek IFN+Ara-C tedavisi sırasında meydana gelmiştir.</w:t>
      </w:r>
    </w:p>
    <w:p w:rsidR="00683C9A"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84 ayda tahmin edilen progresyonsuz sağkalım </w:t>
      </w:r>
      <w:r w:rsidR="003B1BCC" w:rsidRPr="004B3EB9">
        <w:rPr>
          <w:rFonts w:ascii="Times New Roman" w:hAnsi="Times New Roman"/>
          <w:sz w:val="24"/>
          <w:szCs w:val="24"/>
        </w:rPr>
        <w:t>imatinib</w:t>
      </w:r>
      <w:r w:rsidRPr="004B3EB9">
        <w:rPr>
          <w:rFonts w:ascii="Times New Roman" w:hAnsi="Times New Roman"/>
          <w:sz w:val="24"/>
          <w:szCs w:val="24"/>
        </w:rPr>
        <w:t xml:space="preserve"> grubunda %95 </w:t>
      </w:r>
      <w:r w:rsidR="00187450" w:rsidRPr="004B3EB9">
        <w:rPr>
          <w:rFonts w:ascii="Times New Roman" w:hAnsi="Times New Roman"/>
          <w:sz w:val="24"/>
          <w:szCs w:val="24"/>
        </w:rPr>
        <w:t>g</w:t>
      </w:r>
      <w:r w:rsidRPr="004B3EB9">
        <w:rPr>
          <w:rFonts w:ascii="Times New Roman" w:hAnsi="Times New Roman"/>
          <w:sz w:val="24"/>
          <w:szCs w:val="24"/>
        </w:rPr>
        <w:t>üven ara</w:t>
      </w:r>
      <w:r w:rsidR="00996148" w:rsidRPr="004B3EB9">
        <w:rPr>
          <w:rFonts w:ascii="Times New Roman" w:hAnsi="Times New Roman"/>
          <w:sz w:val="24"/>
          <w:szCs w:val="24"/>
        </w:rPr>
        <w:t>lı</w:t>
      </w:r>
      <w:r w:rsidRPr="004B3EB9">
        <w:rPr>
          <w:rFonts w:ascii="Times New Roman" w:hAnsi="Times New Roman"/>
          <w:sz w:val="24"/>
          <w:szCs w:val="24"/>
        </w:rPr>
        <w:t>ğı ile %</w:t>
      </w:r>
      <w:proofErr w:type="gramStart"/>
      <w:r w:rsidRPr="004B3EB9">
        <w:rPr>
          <w:rFonts w:ascii="Times New Roman" w:hAnsi="Times New Roman"/>
          <w:sz w:val="24"/>
          <w:szCs w:val="24"/>
        </w:rPr>
        <w:t>81.2</w:t>
      </w:r>
      <w:proofErr w:type="gramEnd"/>
      <w:r w:rsidR="00187450" w:rsidRPr="004B3EB9">
        <w:rPr>
          <w:rFonts w:ascii="Times New Roman" w:hAnsi="Times New Roman"/>
          <w:sz w:val="24"/>
          <w:szCs w:val="24"/>
        </w:rPr>
        <w:t xml:space="preserve"> </w:t>
      </w:r>
      <w:r w:rsidRPr="004B3EB9">
        <w:rPr>
          <w:rFonts w:ascii="Times New Roman" w:hAnsi="Times New Roman"/>
          <w:sz w:val="24"/>
          <w:szCs w:val="24"/>
        </w:rPr>
        <w:t>(78, 85) ve kontrol grubunda %60.6 (56.5) olmuştur (p &lt; 0.001) (Şek</w:t>
      </w:r>
      <w:r w:rsidR="00996148" w:rsidRPr="004B3EB9">
        <w:rPr>
          <w:rFonts w:ascii="Times New Roman" w:hAnsi="Times New Roman"/>
          <w:sz w:val="24"/>
          <w:szCs w:val="24"/>
        </w:rPr>
        <w:t>il</w:t>
      </w:r>
      <w:r w:rsidRPr="004B3EB9">
        <w:rPr>
          <w:rFonts w:ascii="Times New Roman" w:hAnsi="Times New Roman"/>
          <w:sz w:val="24"/>
          <w:szCs w:val="24"/>
        </w:rPr>
        <w:t xml:space="preserve"> 1).</w:t>
      </w:r>
    </w:p>
    <w:p w:rsidR="00187450" w:rsidRPr="004B3EB9" w:rsidRDefault="0018745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84 ayda akselere faza ya da blast krizine ilerleme olmayan </w:t>
      </w:r>
      <w:r w:rsidR="009E236D" w:rsidRPr="004B3EB9">
        <w:rPr>
          <w:rFonts w:ascii="Times New Roman" w:hAnsi="Times New Roman"/>
          <w:sz w:val="24"/>
          <w:szCs w:val="24"/>
        </w:rPr>
        <w:t>hastaların</w:t>
      </w:r>
      <w:r w:rsidRPr="004B3EB9">
        <w:rPr>
          <w:rFonts w:ascii="Times New Roman" w:hAnsi="Times New Roman"/>
          <w:sz w:val="24"/>
          <w:szCs w:val="24"/>
        </w:rPr>
        <w:t xml:space="preserve"> tahmin edilen </w:t>
      </w:r>
      <w:r w:rsidR="004F3870" w:rsidRPr="004B3EB9">
        <w:rPr>
          <w:rFonts w:ascii="Times New Roman" w:hAnsi="Times New Roman"/>
          <w:sz w:val="24"/>
          <w:szCs w:val="24"/>
        </w:rPr>
        <w:t>oranı</w:t>
      </w:r>
      <w:r w:rsidR="00996148" w:rsidRPr="004B3EB9">
        <w:rPr>
          <w:rFonts w:ascii="Times New Roman" w:hAnsi="Times New Roman"/>
          <w:sz w:val="24"/>
          <w:szCs w:val="24"/>
        </w:rPr>
        <w:t>, IFN grubu ile karşılaştırı</w:t>
      </w:r>
      <w:r w:rsidRPr="004B3EB9">
        <w:rPr>
          <w:rFonts w:ascii="Times New Roman" w:hAnsi="Times New Roman"/>
          <w:sz w:val="24"/>
          <w:szCs w:val="24"/>
        </w:rPr>
        <w:t>ldığ</w:t>
      </w:r>
      <w:r w:rsidR="00996148" w:rsidRPr="004B3EB9">
        <w:rPr>
          <w:rFonts w:ascii="Times New Roman" w:hAnsi="Times New Roman"/>
          <w:sz w:val="24"/>
          <w:szCs w:val="24"/>
        </w:rPr>
        <w:t>ın</w:t>
      </w:r>
      <w:r w:rsidRPr="004B3EB9">
        <w:rPr>
          <w:rFonts w:ascii="Times New Roman" w:hAnsi="Times New Roman"/>
          <w:sz w:val="24"/>
          <w:szCs w:val="24"/>
        </w:rPr>
        <w:t xml:space="preserve">da </w:t>
      </w:r>
      <w:r w:rsidR="00996148" w:rsidRPr="004B3EB9">
        <w:rPr>
          <w:rFonts w:ascii="Times New Roman" w:hAnsi="Times New Roman"/>
          <w:sz w:val="24"/>
          <w:szCs w:val="24"/>
        </w:rPr>
        <w:t>imatinib</w:t>
      </w:r>
      <w:r w:rsidRPr="004B3EB9">
        <w:rPr>
          <w:rFonts w:ascii="Times New Roman" w:hAnsi="Times New Roman"/>
          <w:sz w:val="24"/>
          <w:szCs w:val="24"/>
        </w:rPr>
        <w:t xml:space="preserve"> grubunda anlam</w:t>
      </w:r>
      <w:r w:rsidR="00996148" w:rsidRPr="004B3EB9">
        <w:rPr>
          <w:rFonts w:ascii="Times New Roman" w:hAnsi="Times New Roman"/>
          <w:sz w:val="24"/>
          <w:szCs w:val="24"/>
        </w:rPr>
        <w:t>lı</w:t>
      </w:r>
      <w:r w:rsidRPr="004B3EB9">
        <w:rPr>
          <w:rFonts w:ascii="Times New Roman" w:hAnsi="Times New Roman"/>
          <w:sz w:val="24"/>
          <w:szCs w:val="24"/>
        </w:rPr>
        <w:t xml:space="preserve"> düzeyde yüksek olmuştur (%</w:t>
      </w:r>
      <w:proofErr w:type="gramStart"/>
      <w:r w:rsidRPr="004B3EB9">
        <w:rPr>
          <w:rFonts w:ascii="Times New Roman" w:hAnsi="Times New Roman"/>
          <w:sz w:val="24"/>
          <w:szCs w:val="24"/>
        </w:rPr>
        <w:t>85.1</w:t>
      </w:r>
      <w:proofErr w:type="gramEnd"/>
      <w:r w:rsidR="00187450" w:rsidRPr="004B3EB9">
        <w:rPr>
          <w:rFonts w:ascii="Times New Roman" w:hAnsi="Times New Roman"/>
          <w:sz w:val="24"/>
          <w:szCs w:val="24"/>
        </w:rPr>
        <w:t xml:space="preserve"> </w:t>
      </w:r>
      <w:r w:rsidRPr="004B3EB9">
        <w:rPr>
          <w:rFonts w:ascii="Times New Roman" w:hAnsi="Times New Roman"/>
          <w:sz w:val="24"/>
          <w:szCs w:val="24"/>
        </w:rPr>
        <w:t>(82,89) karşısında %92.5</w:t>
      </w:r>
      <w:r w:rsidR="00187450" w:rsidRPr="004B3EB9">
        <w:rPr>
          <w:rFonts w:ascii="Times New Roman" w:hAnsi="Times New Roman"/>
          <w:sz w:val="24"/>
          <w:szCs w:val="24"/>
        </w:rPr>
        <w:t xml:space="preserve"> </w:t>
      </w:r>
      <w:r w:rsidRPr="004B3EB9">
        <w:rPr>
          <w:rFonts w:ascii="Times New Roman" w:hAnsi="Times New Roman"/>
          <w:sz w:val="24"/>
          <w:szCs w:val="24"/>
        </w:rPr>
        <w:t>(90,95), p &lt; 0.001) (Şek</w:t>
      </w:r>
      <w:r w:rsidR="00996148" w:rsidRPr="004B3EB9">
        <w:rPr>
          <w:rFonts w:ascii="Times New Roman" w:hAnsi="Times New Roman"/>
          <w:sz w:val="24"/>
          <w:szCs w:val="24"/>
        </w:rPr>
        <w:t>il</w:t>
      </w:r>
      <w:r w:rsidRPr="004B3EB9">
        <w:rPr>
          <w:rFonts w:ascii="Times New Roman" w:hAnsi="Times New Roman"/>
          <w:sz w:val="24"/>
          <w:szCs w:val="24"/>
        </w:rPr>
        <w:t xml:space="preserve"> 2). Yı</w:t>
      </w:r>
      <w:r w:rsidR="00187450" w:rsidRPr="004B3EB9">
        <w:rPr>
          <w:rFonts w:ascii="Times New Roman" w:hAnsi="Times New Roman"/>
          <w:sz w:val="24"/>
          <w:szCs w:val="24"/>
        </w:rPr>
        <w:t>ll</w:t>
      </w:r>
      <w:r w:rsidRPr="004B3EB9">
        <w:rPr>
          <w:rFonts w:ascii="Times New Roman" w:hAnsi="Times New Roman"/>
          <w:sz w:val="24"/>
          <w:szCs w:val="24"/>
        </w:rPr>
        <w:t>ık progresyon hızı tedavide geçirilen süre ile birlikte azalmaktadır.</w:t>
      </w:r>
    </w:p>
    <w:p w:rsidR="005739A4" w:rsidRDefault="005739A4" w:rsidP="00C86B5D">
      <w:pPr>
        <w:spacing w:after="0"/>
        <w:jc w:val="both"/>
        <w:rPr>
          <w:rFonts w:ascii="Times New Roman" w:hAnsi="Times New Roman"/>
          <w:b/>
          <w:bCs/>
          <w:sz w:val="24"/>
          <w:szCs w:val="24"/>
        </w:rPr>
      </w:pPr>
    </w:p>
    <w:p w:rsidR="004E7E2D" w:rsidRDefault="004E7E2D" w:rsidP="00C86B5D">
      <w:pPr>
        <w:spacing w:after="0"/>
        <w:jc w:val="both"/>
        <w:rPr>
          <w:rFonts w:ascii="Times New Roman" w:hAnsi="Times New Roman"/>
          <w:b/>
          <w:bCs/>
          <w:sz w:val="24"/>
          <w:szCs w:val="24"/>
        </w:rPr>
      </w:pPr>
    </w:p>
    <w:p w:rsidR="00396DF1" w:rsidRPr="004B3EB9" w:rsidRDefault="00C60D61" w:rsidP="00C86B5D">
      <w:pPr>
        <w:spacing w:after="0"/>
        <w:jc w:val="both"/>
        <w:rPr>
          <w:rFonts w:ascii="Times New Roman" w:hAnsi="Times New Roman"/>
          <w:b/>
          <w:bCs/>
          <w:sz w:val="24"/>
          <w:szCs w:val="24"/>
        </w:rPr>
      </w:pPr>
      <w:r w:rsidRPr="004B3EB9">
        <w:rPr>
          <w:rFonts w:ascii="Times New Roman" w:hAnsi="Times New Roman"/>
          <w:b/>
          <w:bCs/>
          <w:sz w:val="24"/>
          <w:szCs w:val="24"/>
        </w:rPr>
        <w:t xml:space="preserve">Şekil 1 </w:t>
      </w:r>
      <w:r w:rsidR="00396DF1" w:rsidRPr="004B3EB9">
        <w:rPr>
          <w:rFonts w:ascii="Times New Roman" w:hAnsi="Times New Roman"/>
          <w:b/>
          <w:bCs/>
          <w:sz w:val="24"/>
          <w:szCs w:val="24"/>
        </w:rPr>
        <w:t>İlerleme kaydedilinceye kadar geçen süre (ITT ilkesi)</w:t>
      </w:r>
    </w:p>
    <w:p w:rsidR="00C60D61" w:rsidRPr="004B3EB9" w:rsidRDefault="006F37DF" w:rsidP="00C86B5D">
      <w:pPr>
        <w:spacing w:after="0"/>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4076700" cy="2381250"/>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srcRect/>
                    <a:stretch>
                      <a:fillRect/>
                    </a:stretch>
                  </pic:blipFill>
                  <pic:spPr bwMode="auto">
                    <a:xfrm>
                      <a:off x="0" y="0"/>
                      <a:ext cx="4076700" cy="2381250"/>
                    </a:xfrm>
                    <a:prstGeom prst="rect">
                      <a:avLst/>
                    </a:prstGeom>
                    <a:noFill/>
                    <a:ln w="9525">
                      <a:noFill/>
                      <a:miter lim="800000"/>
                      <a:headEnd/>
                      <a:tailEnd/>
                    </a:ln>
                  </pic:spPr>
                </pic:pic>
              </a:graphicData>
            </a:graphic>
          </wp:inline>
        </w:drawing>
      </w:r>
    </w:p>
    <w:p w:rsidR="00DC6B50" w:rsidRDefault="00DC6B50" w:rsidP="00C86B5D">
      <w:pPr>
        <w:spacing w:after="0"/>
        <w:jc w:val="both"/>
        <w:rPr>
          <w:rFonts w:ascii="Times New Roman" w:hAnsi="Times New Roman"/>
          <w:b/>
          <w:bCs/>
          <w:sz w:val="24"/>
          <w:szCs w:val="24"/>
        </w:rPr>
      </w:pPr>
    </w:p>
    <w:p w:rsidR="0006573B" w:rsidRDefault="0006573B" w:rsidP="00C86B5D">
      <w:pPr>
        <w:spacing w:after="0"/>
        <w:jc w:val="both"/>
        <w:rPr>
          <w:rFonts w:ascii="Times New Roman" w:hAnsi="Times New Roman"/>
          <w:b/>
          <w:bCs/>
          <w:sz w:val="24"/>
          <w:szCs w:val="24"/>
        </w:rPr>
      </w:pPr>
    </w:p>
    <w:p w:rsidR="00396DF1" w:rsidRPr="004B3EB9" w:rsidRDefault="00C60D61" w:rsidP="00C86B5D">
      <w:pPr>
        <w:spacing w:after="0"/>
        <w:jc w:val="both"/>
        <w:rPr>
          <w:rFonts w:ascii="Times New Roman" w:hAnsi="Times New Roman"/>
          <w:sz w:val="24"/>
          <w:szCs w:val="24"/>
        </w:rPr>
      </w:pPr>
      <w:r w:rsidRPr="004B3EB9">
        <w:rPr>
          <w:rFonts w:ascii="Times New Roman" w:hAnsi="Times New Roman"/>
          <w:b/>
          <w:bCs/>
          <w:sz w:val="24"/>
          <w:szCs w:val="24"/>
        </w:rPr>
        <w:t xml:space="preserve">Şekil 2 </w:t>
      </w:r>
      <w:r w:rsidR="00DA30C8" w:rsidRPr="004B3EB9">
        <w:rPr>
          <w:rFonts w:ascii="Times New Roman" w:hAnsi="Times New Roman"/>
          <w:b/>
          <w:bCs/>
          <w:sz w:val="24"/>
          <w:szCs w:val="24"/>
        </w:rPr>
        <w:t>Akselere Faz veya Blast krizin</w:t>
      </w:r>
      <w:r w:rsidR="00396DF1" w:rsidRPr="004B3EB9">
        <w:rPr>
          <w:rFonts w:ascii="Times New Roman" w:hAnsi="Times New Roman"/>
          <w:b/>
          <w:bCs/>
          <w:sz w:val="24"/>
          <w:szCs w:val="24"/>
        </w:rPr>
        <w:t>in gelişmesine kadar geçen süre</w:t>
      </w:r>
      <w:r w:rsidR="0063461B" w:rsidRPr="004B3EB9">
        <w:rPr>
          <w:rFonts w:ascii="Times New Roman" w:hAnsi="Times New Roman"/>
          <w:b/>
          <w:bCs/>
          <w:sz w:val="24"/>
          <w:szCs w:val="24"/>
        </w:rPr>
        <w:t xml:space="preserve"> (ITT ilkesi)</w:t>
      </w:r>
      <w:r w:rsidR="00396DF1" w:rsidRPr="004B3EB9">
        <w:rPr>
          <w:rFonts w:ascii="Times New Roman" w:hAnsi="Times New Roman"/>
          <w:b/>
          <w:bCs/>
          <w:sz w:val="24"/>
          <w:szCs w:val="24"/>
        </w:rPr>
        <w:t xml:space="preserve"> </w:t>
      </w:r>
    </w:p>
    <w:p w:rsidR="00396DF1" w:rsidRPr="004B3EB9" w:rsidRDefault="006F37DF" w:rsidP="00C86B5D">
      <w:pPr>
        <w:spacing w:after="0"/>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3924300" cy="2533650"/>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396DF1" w:rsidRPr="004B3EB9" w:rsidRDefault="009E236D" w:rsidP="00C86B5D">
      <w:pPr>
        <w:spacing w:after="0"/>
        <w:jc w:val="both"/>
        <w:rPr>
          <w:rFonts w:ascii="Times New Roman" w:hAnsi="Times New Roman"/>
          <w:sz w:val="24"/>
          <w:szCs w:val="24"/>
        </w:rPr>
      </w:pPr>
      <w:r w:rsidRPr="004B3EB9">
        <w:rPr>
          <w:rFonts w:ascii="Times New Roman" w:hAnsi="Times New Roman"/>
          <w:sz w:val="24"/>
          <w:szCs w:val="24"/>
        </w:rPr>
        <w:t>İ</w:t>
      </w:r>
      <w:r w:rsidR="00C60D61" w:rsidRPr="004B3EB9">
        <w:rPr>
          <w:rFonts w:ascii="Times New Roman" w:hAnsi="Times New Roman"/>
          <w:sz w:val="24"/>
          <w:szCs w:val="24"/>
        </w:rPr>
        <w:t xml:space="preserve">matinib </w:t>
      </w:r>
      <w:r w:rsidR="00396DF1" w:rsidRPr="004B3EB9">
        <w:rPr>
          <w:rFonts w:ascii="Times New Roman" w:hAnsi="Times New Roman"/>
          <w:sz w:val="24"/>
          <w:szCs w:val="24"/>
        </w:rPr>
        <w:t>ve IFN+Ara-C gruplarında, sırasıyla, toplam 71 (%</w:t>
      </w:r>
      <w:proofErr w:type="gramStart"/>
      <w:r w:rsidR="00396DF1" w:rsidRPr="004B3EB9">
        <w:rPr>
          <w:rFonts w:ascii="Times New Roman" w:hAnsi="Times New Roman"/>
          <w:sz w:val="24"/>
          <w:szCs w:val="24"/>
        </w:rPr>
        <w:t>12.8</w:t>
      </w:r>
      <w:proofErr w:type="gramEnd"/>
      <w:r w:rsidR="00396DF1" w:rsidRPr="004B3EB9">
        <w:rPr>
          <w:rFonts w:ascii="Times New Roman" w:hAnsi="Times New Roman"/>
          <w:sz w:val="24"/>
          <w:szCs w:val="24"/>
        </w:rPr>
        <w:t xml:space="preserve">) ve 85 (%15.4) hasta ölmüştür. 84 ayda randomize </w:t>
      </w:r>
      <w:r w:rsidR="00C60D61" w:rsidRPr="004B3EB9">
        <w:rPr>
          <w:rFonts w:ascii="Times New Roman" w:hAnsi="Times New Roman"/>
          <w:sz w:val="24"/>
          <w:szCs w:val="24"/>
        </w:rPr>
        <w:t>imatinib</w:t>
      </w:r>
      <w:r w:rsidR="00396DF1" w:rsidRPr="004B3EB9">
        <w:rPr>
          <w:rFonts w:ascii="Times New Roman" w:hAnsi="Times New Roman"/>
          <w:sz w:val="24"/>
          <w:szCs w:val="24"/>
        </w:rPr>
        <w:t xml:space="preserve"> ve IFN+Ara-C gruplarında tahmin edilen genel sağka</w:t>
      </w:r>
      <w:r w:rsidR="00C60D61" w:rsidRPr="004B3EB9">
        <w:rPr>
          <w:rFonts w:ascii="Times New Roman" w:hAnsi="Times New Roman"/>
          <w:sz w:val="24"/>
          <w:szCs w:val="24"/>
        </w:rPr>
        <w:t>lı</w:t>
      </w:r>
      <w:r w:rsidR="00396DF1" w:rsidRPr="004B3EB9">
        <w:rPr>
          <w:rFonts w:ascii="Times New Roman" w:hAnsi="Times New Roman"/>
          <w:sz w:val="24"/>
          <w:szCs w:val="24"/>
        </w:rPr>
        <w:t>m, sırasıyla %</w:t>
      </w:r>
      <w:proofErr w:type="gramStart"/>
      <w:r w:rsidR="00396DF1" w:rsidRPr="004B3EB9">
        <w:rPr>
          <w:rFonts w:ascii="Times New Roman" w:hAnsi="Times New Roman"/>
          <w:sz w:val="24"/>
          <w:szCs w:val="24"/>
        </w:rPr>
        <w:t>86.4</w:t>
      </w:r>
      <w:proofErr w:type="gramEnd"/>
      <w:r w:rsidR="00396DF1" w:rsidRPr="004B3EB9">
        <w:rPr>
          <w:rFonts w:ascii="Times New Roman" w:hAnsi="Times New Roman"/>
          <w:sz w:val="24"/>
          <w:szCs w:val="24"/>
        </w:rPr>
        <w:t xml:space="preserve"> (83, 90) ve %83.3 (80, 87) düzeyindedir (p=0.073, log-rank testi). Buna ek olarak, 84 aylık verilere göre </w:t>
      </w:r>
      <w:r w:rsidR="00EB10CE" w:rsidRPr="004B3EB9">
        <w:rPr>
          <w:rFonts w:ascii="Times New Roman" w:hAnsi="Times New Roman"/>
          <w:sz w:val="24"/>
          <w:szCs w:val="24"/>
        </w:rPr>
        <w:t>imatinib</w:t>
      </w:r>
      <w:r w:rsidR="00396DF1" w:rsidRPr="004B3EB9">
        <w:rPr>
          <w:rFonts w:ascii="Times New Roman" w:hAnsi="Times New Roman"/>
          <w:sz w:val="24"/>
          <w:szCs w:val="24"/>
        </w:rPr>
        <w:t xml:space="preserve"> </w:t>
      </w:r>
      <w:r w:rsidRPr="004B3EB9">
        <w:rPr>
          <w:rFonts w:ascii="Times New Roman" w:hAnsi="Times New Roman"/>
          <w:sz w:val="24"/>
          <w:szCs w:val="24"/>
        </w:rPr>
        <w:t>hastaların</w:t>
      </w:r>
      <w:r w:rsidR="00396DF1" w:rsidRPr="004B3EB9">
        <w:rPr>
          <w:rFonts w:ascii="Times New Roman" w:hAnsi="Times New Roman"/>
          <w:sz w:val="24"/>
          <w:szCs w:val="24"/>
        </w:rPr>
        <w:t>da yalnızca 31 (%</w:t>
      </w:r>
      <w:proofErr w:type="gramStart"/>
      <w:r w:rsidR="00396DF1" w:rsidRPr="004B3EB9">
        <w:rPr>
          <w:rFonts w:ascii="Times New Roman" w:hAnsi="Times New Roman"/>
          <w:sz w:val="24"/>
          <w:szCs w:val="24"/>
        </w:rPr>
        <w:t>5.6</w:t>
      </w:r>
      <w:proofErr w:type="gramEnd"/>
      <w:r w:rsidR="00396DF1" w:rsidRPr="004B3EB9">
        <w:rPr>
          <w:rFonts w:ascii="Times New Roman" w:hAnsi="Times New Roman"/>
          <w:sz w:val="24"/>
          <w:szCs w:val="24"/>
        </w:rPr>
        <w:t xml:space="preserve">) ölüm (BMT öncesi) KML ile </w:t>
      </w:r>
      <w:r w:rsidR="00C60D61" w:rsidRPr="004B3EB9">
        <w:rPr>
          <w:rFonts w:ascii="Times New Roman" w:hAnsi="Times New Roman"/>
          <w:sz w:val="24"/>
          <w:szCs w:val="24"/>
        </w:rPr>
        <w:t>il</w:t>
      </w:r>
      <w:r w:rsidR="00396DF1" w:rsidRPr="004B3EB9">
        <w:rPr>
          <w:rFonts w:ascii="Times New Roman" w:hAnsi="Times New Roman"/>
          <w:sz w:val="24"/>
          <w:szCs w:val="24"/>
        </w:rPr>
        <w:t xml:space="preserve">işkilendirilmiştir. Buna karşılık IFN+Ara-C </w:t>
      </w:r>
      <w:r w:rsidRPr="004B3EB9">
        <w:rPr>
          <w:rFonts w:ascii="Times New Roman" w:hAnsi="Times New Roman"/>
          <w:sz w:val="24"/>
          <w:szCs w:val="24"/>
        </w:rPr>
        <w:t>hastaların</w:t>
      </w:r>
      <w:r w:rsidR="00396DF1" w:rsidRPr="004B3EB9">
        <w:rPr>
          <w:rFonts w:ascii="Times New Roman" w:hAnsi="Times New Roman"/>
          <w:sz w:val="24"/>
          <w:szCs w:val="24"/>
        </w:rPr>
        <w:t>da 40 (%</w:t>
      </w:r>
      <w:proofErr w:type="gramStart"/>
      <w:r w:rsidR="00396DF1" w:rsidRPr="004B3EB9">
        <w:rPr>
          <w:rFonts w:ascii="Times New Roman" w:hAnsi="Times New Roman"/>
          <w:sz w:val="24"/>
          <w:szCs w:val="24"/>
        </w:rPr>
        <w:t>7.2</w:t>
      </w:r>
      <w:proofErr w:type="gramEnd"/>
      <w:r w:rsidR="00396DF1" w:rsidRPr="004B3EB9">
        <w:rPr>
          <w:rFonts w:ascii="Times New Roman" w:hAnsi="Times New Roman"/>
          <w:sz w:val="24"/>
          <w:szCs w:val="24"/>
        </w:rPr>
        <w:t>) ölüm KML</w:t>
      </w:r>
      <w:r w:rsidR="00C60D61" w:rsidRPr="004B3EB9">
        <w:rPr>
          <w:rFonts w:ascii="Times New Roman" w:hAnsi="Times New Roman"/>
          <w:sz w:val="24"/>
          <w:szCs w:val="24"/>
        </w:rPr>
        <w:t xml:space="preserve"> ile ilişkil</w:t>
      </w:r>
      <w:r w:rsidR="00396DF1" w:rsidRPr="004B3EB9">
        <w:rPr>
          <w:rFonts w:ascii="Times New Roman" w:hAnsi="Times New Roman"/>
          <w:sz w:val="24"/>
          <w:szCs w:val="24"/>
        </w:rPr>
        <w:t>endirilmiştir. Yalnızca KML ile ilişkili bu ölümler dikkate alınır ve BMT sonrası ya da diğer nedenlerle meydana gelen bütün ölümler sansürlenirse, tahmin edilen 84 aylık sağka</w:t>
      </w:r>
      <w:r w:rsidR="00C60D61" w:rsidRPr="004B3EB9">
        <w:rPr>
          <w:rFonts w:ascii="Times New Roman" w:hAnsi="Times New Roman"/>
          <w:sz w:val="24"/>
          <w:szCs w:val="24"/>
        </w:rPr>
        <w:t>lı</w:t>
      </w:r>
      <w:r w:rsidR="00396DF1" w:rsidRPr="004B3EB9">
        <w:rPr>
          <w:rFonts w:ascii="Times New Roman" w:hAnsi="Times New Roman"/>
          <w:sz w:val="24"/>
          <w:szCs w:val="24"/>
        </w:rPr>
        <w:t xml:space="preserve">m </w:t>
      </w:r>
      <w:r w:rsidR="00791617" w:rsidRPr="004B3EB9">
        <w:rPr>
          <w:rFonts w:ascii="Times New Roman" w:hAnsi="Times New Roman"/>
          <w:sz w:val="24"/>
          <w:szCs w:val="24"/>
        </w:rPr>
        <w:t>oranları</w:t>
      </w:r>
      <w:r w:rsidR="00396DF1" w:rsidRPr="004B3EB9">
        <w:rPr>
          <w:rFonts w:ascii="Times New Roman" w:hAnsi="Times New Roman"/>
          <w:sz w:val="24"/>
          <w:szCs w:val="24"/>
        </w:rPr>
        <w:t xml:space="preserve"> %</w:t>
      </w:r>
      <w:proofErr w:type="gramStart"/>
      <w:r w:rsidR="00396DF1" w:rsidRPr="004B3EB9">
        <w:rPr>
          <w:rFonts w:ascii="Times New Roman" w:hAnsi="Times New Roman"/>
          <w:sz w:val="24"/>
          <w:szCs w:val="24"/>
        </w:rPr>
        <w:t>93.6</w:t>
      </w:r>
      <w:proofErr w:type="gramEnd"/>
      <w:r w:rsidR="00396DF1" w:rsidRPr="004B3EB9">
        <w:rPr>
          <w:rFonts w:ascii="Times New Roman" w:hAnsi="Times New Roman"/>
          <w:sz w:val="24"/>
          <w:szCs w:val="24"/>
        </w:rPr>
        <w:t xml:space="preserve"> ve %91.1 olmaktadır (p=0.1, log-rank testi). </w:t>
      </w:r>
      <w:r w:rsidR="008B5727" w:rsidRPr="004B3EB9">
        <w:rPr>
          <w:rFonts w:ascii="Times New Roman" w:hAnsi="Times New Roman"/>
          <w:sz w:val="24"/>
          <w:szCs w:val="24"/>
        </w:rPr>
        <w:t>İ</w:t>
      </w:r>
      <w:r w:rsidR="00EB10CE" w:rsidRPr="004B3EB9">
        <w:rPr>
          <w:rFonts w:ascii="Times New Roman" w:hAnsi="Times New Roman"/>
          <w:sz w:val="24"/>
          <w:szCs w:val="24"/>
        </w:rPr>
        <w:t>matinib</w:t>
      </w:r>
      <w:r w:rsidR="00396DF1" w:rsidRPr="004B3EB9">
        <w:rPr>
          <w:rFonts w:ascii="Times New Roman" w:hAnsi="Times New Roman"/>
          <w:sz w:val="24"/>
          <w:szCs w:val="24"/>
        </w:rPr>
        <w:t xml:space="preserve"> tedavisinin kronik fazdaki, yeni ta</w:t>
      </w:r>
      <w:r w:rsidR="00141666" w:rsidRPr="004B3EB9">
        <w:rPr>
          <w:rFonts w:ascii="Times New Roman" w:hAnsi="Times New Roman"/>
          <w:sz w:val="24"/>
          <w:szCs w:val="24"/>
        </w:rPr>
        <w:t>nı</w:t>
      </w:r>
      <w:r w:rsidR="00396DF1" w:rsidRPr="004B3EB9">
        <w:rPr>
          <w:rFonts w:ascii="Times New Roman" w:hAnsi="Times New Roman"/>
          <w:sz w:val="24"/>
          <w:szCs w:val="24"/>
        </w:rPr>
        <w:t xml:space="preserve"> konulmuş KML</w:t>
      </w:r>
      <w:r w:rsidR="00F54064">
        <w:rPr>
          <w:rFonts w:ascii="Times New Roman" w:hAnsi="Times New Roman"/>
          <w:sz w:val="24"/>
          <w:szCs w:val="24"/>
        </w:rPr>
        <w:t>’</w:t>
      </w:r>
      <w:r w:rsidR="00396DF1" w:rsidRPr="004B3EB9">
        <w:rPr>
          <w:rFonts w:ascii="Times New Roman" w:hAnsi="Times New Roman"/>
          <w:sz w:val="24"/>
          <w:szCs w:val="24"/>
        </w:rPr>
        <w:t>deki sağkalım etkisi, ay</w:t>
      </w:r>
      <w:r w:rsidR="00C60D61" w:rsidRPr="004B3EB9">
        <w:rPr>
          <w:rFonts w:ascii="Times New Roman" w:hAnsi="Times New Roman"/>
          <w:sz w:val="24"/>
          <w:szCs w:val="24"/>
        </w:rPr>
        <w:t>nı rejimde IFN+Ara-C (n=325) kullanılan</w:t>
      </w:r>
      <w:r w:rsidR="00396DF1" w:rsidRPr="004B3EB9">
        <w:rPr>
          <w:rFonts w:ascii="Times New Roman" w:hAnsi="Times New Roman"/>
          <w:sz w:val="24"/>
          <w:szCs w:val="24"/>
        </w:rPr>
        <w:t xml:space="preserve"> başka bir Faz </w:t>
      </w:r>
      <w:r w:rsidR="00396DF1" w:rsidRPr="004B3EB9">
        <w:rPr>
          <w:rFonts w:ascii="Times New Roman" w:hAnsi="Times New Roman"/>
          <w:bCs/>
          <w:sz w:val="24"/>
          <w:szCs w:val="24"/>
          <w:lang w:val="en-US"/>
        </w:rPr>
        <w:t>III</w:t>
      </w:r>
      <w:r w:rsidR="00396DF1" w:rsidRPr="004B3EB9">
        <w:rPr>
          <w:rFonts w:ascii="Times New Roman" w:hAnsi="Times New Roman"/>
          <w:b/>
          <w:bCs/>
          <w:sz w:val="24"/>
          <w:szCs w:val="24"/>
          <w:lang w:val="en-US"/>
        </w:rPr>
        <w:t xml:space="preserve"> </w:t>
      </w:r>
      <w:r w:rsidR="00396DF1" w:rsidRPr="004B3EB9">
        <w:rPr>
          <w:rFonts w:ascii="Times New Roman" w:hAnsi="Times New Roman"/>
          <w:sz w:val="24"/>
          <w:szCs w:val="24"/>
        </w:rPr>
        <w:t>ça</w:t>
      </w:r>
      <w:r w:rsidR="00C60D61" w:rsidRPr="004B3EB9">
        <w:rPr>
          <w:rFonts w:ascii="Times New Roman" w:hAnsi="Times New Roman"/>
          <w:sz w:val="24"/>
          <w:szCs w:val="24"/>
        </w:rPr>
        <w:t>lı</w:t>
      </w:r>
      <w:r w:rsidR="00396DF1" w:rsidRPr="004B3EB9">
        <w:rPr>
          <w:rFonts w:ascii="Times New Roman" w:hAnsi="Times New Roman"/>
          <w:sz w:val="24"/>
          <w:szCs w:val="24"/>
        </w:rPr>
        <w:t>şmadan elde ed</w:t>
      </w:r>
      <w:r w:rsidR="00C60D61" w:rsidRPr="004B3EB9">
        <w:rPr>
          <w:rFonts w:ascii="Times New Roman" w:hAnsi="Times New Roman"/>
          <w:sz w:val="24"/>
          <w:szCs w:val="24"/>
        </w:rPr>
        <w:t>il</w:t>
      </w:r>
      <w:r w:rsidR="00396DF1" w:rsidRPr="004B3EB9">
        <w:rPr>
          <w:rFonts w:ascii="Times New Roman" w:hAnsi="Times New Roman"/>
          <w:sz w:val="24"/>
          <w:szCs w:val="24"/>
        </w:rPr>
        <w:t>en birinc</w:t>
      </w:r>
      <w:r w:rsidR="00C60D61" w:rsidRPr="004B3EB9">
        <w:rPr>
          <w:rFonts w:ascii="Times New Roman" w:hAnsi="Times New Roman"/>
          <w:sz w:val="24"/>
          <w:szCs w:val="24"/>
        </w:rPr>
        <w:t>i</w:t>
      </w:r>
      <w:r w:rsidR="00396DF1" w:rsidRPr="004B3EB9">
        <w:rPr>
          <w:rFonts w:ascii="Times New Roman" w:hAnsi="Times New Roman"/>
          <w:sz w:val="24"/>
          <w:szCs w:val="24"/>
        </w:rPr>
        <w:t xml:space="preserve"> verilerle birlikte yuka</w:t>
      </w:r>
      <w:r w:rsidR="00C60D61" w:rsidRPr="004B3EB9">
        <w:rPr>
          <w:rFonts w:ascii="Times New Roman" w:hAnsi="Times New Roman"/>
          <w:sz w:val="24"/>
          <w:szCs w:val="24"/>
        </w:rPr>
        <w:t>rı</w:t>
      </w:r>
      <w:r w:rsidR="00396DF1" w:rsidRPr="004B3EB9">
        <w:rPr>
          <w:rFonts w:ascii="Times New Roman" w:hAnsi="Times New Roman"/>
          <w:sz w:val="24"/>
          <w:szCs w:val="24"/>
        </w:rPr>
        <w:t xml:space="preserve">da belirtilen </w:t>
      </w:r>
      <w:r w:rsidR="00EB10CE" w:rsidRPr="004B3EB9">
        <w:rPr>
          <w:rFonts w:ascii="Times New Roman" w:hAnsi="Times New Roman"/>
          <w:sz w:val="24"/>
          <w:szCs w:val="24"/>
        </w:rPr>
        <w:t xml:space="preserve">imatinib </w:t>
      </w:r>
      <w:r w:rsidR="00396DF1" w:rsidRPr="004B3EB9">
        <w:rPr>
          <w:rFonts w:ascii="Times New Roman" w:hAnsi="Times New Roman"/>
          <w:sz w:val="24"/>
          <w:szCs w:val="24"/>
        </w:rPr>
        <w:t xml:space="preserve">verilerinin </w:t>
      </w:r>
      <w:proofErr w:type="gramStart"/>
      <w:r w:rsidR="00396DF1" w:rsidRPr="004B3EB9">
        <w:rPr>
          <w:rFonts w:ascii="Times New Roman" w:hAnsi="Times New Roman"/>
          <w:sz w:val="24"/>
          <w:szCs w:val="24"/>
        </w:rPr>
        <w:t>retrospektif</w:t>
      </w:r>
      <w:proofErr w:type="gramEnd"/>
      <w:r w:rsidR="00396DF1" w:rsidRPr="004B3EB9">
        <w:rPr>
          <w:rFonts w:ascii="Times New Roman" w:hAnsi="Times New Roman"/>
          <w:sz w:val="24"/>
          <w:szCs w:val="24"/>
        </w:rPr>
        <w:t xml:space="preserve"> analizinde ay</w:t>
      </w:r>
      <w:r w:rsidR="00C60D61" w:rsidRPr="004B3EB9">
        <w:rPr>
          <w:rFonts w:ascii="Times New Roman" w:hAnsi="Times New Roman"/>
          <w:sz w:val="24"/>
          <w:szCs w:val="24"/>
        </w:rPr>
        <w:t>rı</w:t>
      </w:r>
      <w:r w:rsidR="00396DF1" w:rsidRPr="004B3EB9">
        <w:rPr>
          <w:rFonts w:ascii="Times New Roman" w:hAnsi="Times New Roman"/>
          <w:sz w:val="24"/>
          <w:szCs w:val="24"/>
        </w:rPr>
        <w:t>nt</w:t>
      </w:r>
      <w:r w:rsidR="00C60D61" w:rsidRPr="004B3EB9">
        <w:rPr>
          <w:rFonts w:ascii="Times New Roman" w:hAnsi="Times New Roman"/>
          <w:sz w:val="24"/>
          <w:szCs w:val="24"/>
        </w:rPr>
        <w:t>ılı</w:t>
      </w:r>
      <w:r w:rsidR="00396DF1" w:rsidRPr="004B3EB9">
        <w:rPr>
          <w:rFonts w:ascii="Times New Roman" w:hAnsi="Times New Roman"/>
          <w:sz w:val="24"/>
          <w:szCs w:val="24"/>
        </w:rPr>
        <w:t xml:space="preserve"> olarak incelenmiştir. Bu yayında, genel sağka</w:t>
      </w:r>
      <w:r w:rsidR="00C60D61" w:rsidRPr="004B3EB9">
        <w:rPr>
          <w:rFonts w:ascii="Times New Roman" w:hAnsi="Times New Roman"/>
          <w:sz w:val="24"/>
          <w:szCs w:val="24"/>
        </w:rPr>
        <w:t>lı</w:t>
      </w:r>
      <w:r w:rsidR="00396DF1" w:rsidRPr="004B3EB9">
        <w:rPr>
          <w:rFonts w:ascii="Times New Roman" w:hAnsi="Times New Roman"/>
          <w:sz w:val="24"/>
          <w:szCs w:val="24"/>
        </w:rPr>
        <w:t xml:space="preserve">m bakımından </w:t>
      </w:r>
      <w:r w:rsidR="00C60D61" w:rsidRPr="004B3EB9">
        <w:rPr>
          <w:rFonts w:ascii="Times New Roman" w:hAnsi="Times New Roman"/>
          <w:sz w:val="24"/>
          <w:szCs w:val="24"/>
        </w:rPr>
        <w:t>imatinib</w:t>
      </w:r>
      <w:r w:rsidR="00396DF1" w:rsidRPr="004B3EB9">
        <w:rPr>
          <w:rFonts w:ascii="Times New Roman" w:hAnsi="Times New Roman"/>
          <w:sz w:val="24"/>
          <w:szCs w:val="24"/>
        </w:rPr>
        <w:t>in IFN+Ara-C karşısındaki üstünlüğü kanıtlanmıştır (p&lt;0.001); 42 ay içinde 47 (%</w:t>
      </w:r>
      <w:proofErr w:type="gramStart"/>
      <w:r w:rsidR="00396DF1" w:rsidRPr="004B3EB9">
        <w:rPr>
          <w:rFonts w:ascii="Times New Roman" w:hAnsi="Times New Roman"/>
          <w:sz w:val="24"/>
          <w:szCs w:val="24"/>
        </w:rPr>
        <w:t>8.5</w:t>
      </w:r>
      <w:proofErr w:type="gramEnd"/>
      <w:r w:rsidR="00396DF1" w:rsidRPr="004B3EB9">
        <w:rPr>
          <w:rFonts w:ascii="Times New Roman" w:hAnsi="Times New Roman"/>
          <w:sz w:val="24"/>
          <w:szCs w:val="24"/>
        </w:rPr>
        <w:t xml:space="preserve">) </w:t>
      </w:r>
      <w:r w:rsidR="00EB10CE" w:rsidRPr="004B3EB9">
        <w:rPr>
          <w:rFonts w:ascii="Times New Roman" w:hAnsi="Times New Roman"/>
          <w:sz w:val="24"/>
          <w:szCs w:val="24"/>
        </w:rPr>
        <w:t>imatinib</w:t>
      </w:r>
      <w:r w:rsidR="00396DF1" w:rsidRPr="004B3EB9">
        <w:rPr>
          <w:rFonts w:ascii="Times New Roman" w:hAnsi="Times New Roman"/>
          <w:sz w:val="24"/>
          <w:szCs w:val="24"/>
        </w:rPr>
        <w:t xml:space="preserve"> hastası ve 63 (%19.4) IFN+Ara-C hastası ölmüştür.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Sitogenetik yanıtın derecesi </w:t>
      </w:r>
      <w:r w:rsidR="00C60D61" w:rsidRPr="004B3EB9">
        <w:rPr>
          <w:rFonts w:ascii="Times New Roman" w:hAnsi="Times New Roman"/>
          <w:sz w:val="24"/>
          <w:szCs w:val="24"/>
        </w:rPr>
        <w:t>imatinib</w:t>
      </w:r>
      <w:r w:rsidRPr="004B3EB9">
        <w:rPr>
          <w:rFonts w:ascii="Times New Roman" w:hAnsi="Times New Roman"/>
          <w:sz w:val="24"/>
          <w:szCs w:val="24"/>
        </w:rPr>
        <w:t xml:space="preserve"> tedavisi uygulanan hastalarda uzun vade</w:t>
      </w:r>
      <w:r w:rsidR="00FA40FF" w:rsidRPr="004B3EB9">
        <w:rPr>
          <w:rFonts w:ascii="Times New Roman" w:hAnsi="Times New Roman"/>
          <w:sz w:val="24"/>
          <w:szCs w:val="24"/>
        </w:rPr>
        <w:t>li</w:t>
      </w:r>
      <w:r w:rsidRPr="004B3EB9">
        <w:rPr>
          <w:rFonts w:ascii="Times New Roman" w:hAnsi="Times New Roman"/>
          <w:sz w:val="24"/>
          <w:szCs w:val="24"/>
        </w:rPr>
        <w:t xml:space="preserve"> sonuçlar üzerinde açık bir etkiye sahiptir. 12 ayda TSY (KSY) olan hastalardan 84 ayda AF/BK</w:t>
      </w:r>
      <w:r w:rsidR="00F54064">
        <w:rPr>
          <w:rFonts w:ascii="Times New Roman" w:hAnsi="Times New Roman"/>
          <w:sz w:val="24"/>
          <w:szCs w:val="24"/>
        </w:rPr>
        <w:t>’</w:t>
      </w:r>
      <w:r w:rsidRPr="004B3EB9">
        <w:rPr>
          <w:rFonts w:ascii="Times New Roman" w:hAnsi="Times New Roman"/>
          <w:sz w:val="24"/>
          <w:szCs w:val="24"/>
        </w:rPr>
        <w:t xml:space="preserve">ye </w:t>
      </w:r>
      <w:r w:rsidR="00C60D61" w:rsidRPr="004B3EB9">
        <w:rPr>
          <w:rFonts w:ascii="Times New Roman" w:hAnsi="Times New Roman"/>
          <w:sz w:val="24"/>
          <w:szCs w:val="24"/>
        </w:rPr>
        <w:t>il</w:t>
      </w:r>
      <w:r w:rsidRPr="004B3EB9">
        <w:rPr>
          <w:rFonts w:ascii="Times New Roman" w:hAnsi="Times New Roman"/>
          <w:sz w:val="24"/>
          <w:szCs w:val="24"/>
        </w:rPr>
        <w:t xml:space="preserve">erlemeden kalacağı tahmin edilenlerin </w:t>
      </w:r>
      <w:r w:rsidR="004F3870" w:rsidRPr="004B3EB9">
        <w:rPr>
          <w:rFonts w:ascii="Times New Roman" w:hAnsi="Times New Roman"/>
          <w:sz w:val="24"/>
          <w:szCs w:val="24"/>
        </w:rPr>
        <w:t>oranı</w:t>
      </w:r>
      <w:r w:rsidRPr="004B3EB9">
        <w:rPr>
          <w:rFonts w:ascii="Times New Roman" w:hAnsi="Times New Roman"/>
          <w:sz w:val="24"/>
          <w:szCs w:val="24"/>
        </w:rPr>
        <w:t xml:space="preserve"> %96 (%93) düzeyindedir, 12 ayda MSY olmayan </w:t>
      </w:r>
      <w:r w:rsidR="009E236D" w:rsidRPr="004B3EB9">
        <w:rPr>
          <w:rFonts w:ascii="Times New Roman" w:hAnsi="Times New Roman"/>
          <w:sz w:val="24"/>
          <w:szCs w:val="24"/>
        </w:rPr>
        <w:t>hastaların</w:t>
      </w:r>
      <w:r w:rsidRPr="004B3EB9">
        <w:rPr>
          <w:rFonts w:ascii="Times New Roman" w:hAnsi="Times New Roman"/>
          <w:sz w:val="24"/>
          <w:szCs w:val="24"/>
        </w:rPr>
        <w:t xml:space="preserve"> yalnızca %81</w:t>
      </w:r>
      <w:r w:rsidR="00F54064">
        <w:rPr>
          <w:rFonts w:ascii="Times New Roman" w:hAnsi="Times New Roman"/>
          <w:sz w:val="24"/>
          <w:szCs w:val="24"/>
        </w:rPr>
        <w:t>’</w:t>
      </w:r>
      <w:r w:rsidRPr="004B3EB9">
        <w:rPr>
          <w:rFonts w:ascii="Times New Roman" w:hAnsi="Times New Roman"/>
          <w:sz w:val="24"/>
          <w:szCs w:val="24"/>
        </w:rPr>
        <w:t>i 84 ayda ileri KML</w:t>
      </w:r>
      <w:r w:rsidR="00F54064">
        <w:rPr>
          <w:rFonts w:ascii="Times New Roman" w:hAnsi="Times New Roman"/>
          <w:sz w:val="24"/>
          <w:szCs w:val="24"/>
        </w:rPr>
        <w:t>’</w:t>
      </w:r>
      <w:r w:rsidRPr="004B3EB9">
        <w:rPr>
          <w:rFonts w:ascii="Times New Roman" w:hAnsi="Times New Roman"/>
          <w:sz w:val="24"/>
          <w:szCs w:val="24"/>
        </w:rPr>
        <w:t>ye ilerlemeden kalacaktır (genel olarak p&lt;0.001, TSY ve KSY arasında p=0.25). 18 aylık dönüm noktası esas a</w:t>
      </w:r>
      <w:r w:rsidR="00C60D61" w:rsidRPr="004B3EB9">
        <w:rPr>
          <w:rFonts w:ascii="Times New Roman" w:hAnsi="Times New Roman"/>
          <w:sz w:val="24"/>
          <w:szCs w:val="24"/>
        </w:rPr>
        <w:t>lı</w:t>
      </w:r>
      <w:r w:rsidRPr="004B3EB9">
        <w:rPr>
          <w:rFonts w:ascii="Times New Roman" w:hAnsi="Times New Roman"/>
          <w:sz w:val="24"/>
          <w:szCs w:val="24"/>
        </w:rPr>
        <w:t>ndığında, tahminler sırasıyla %99, %90 ve %83 olmakta, ayrıca TSY ve KSY aras</w:t>
      </w:r>
      <w:r w:rsidR="00C60D61" w:rsidRPr="004B3EB9">
        <w:rPr>
          <w:rFonts w:ascii="Times New Roman" w:hAnsi="Times New Roman"/>
          <w:sz w:val="24"/>
          <w:szCs w:val="24"/>
        </w:rPr>
        <w:t>ın</w:t>
      </w:r>
      <w:r w:rsidRPr="004B3EB9">
        <w:rPr>
          <w:rFonts w:ascii="Times New Roman" w:hAnsi="Times New Roman"/>
          <w:sz w:val="24"/>
          <w:szCs w:val="24"/>
        </w:rPr>
        <w:t>da istatistiksel olarak anlam</w:t>
      </w:r>
      <w:r w:rsidR="00C60D61" w:rsidRPr="004B3EB9">
        <w:rPr>
          <w:rFonts w:ascii="Times New Roman" w:hAnsi="Times New Roman"/>
          <w:sz w:val="24"/>
          <w:szCs w:val="24"/>
        </w:rPr>
        <w:t>lı</w:t>
      </w:r>
      <w:r w:rsidRPr="004B3EB9">
        <w:rPr>
          <w:rFonts w:ascii="Times New Roman" w:hAnsi="Times New Roman"/>
          <w:sz w:val="24"/>
          <w:szCs w:val="24"/>
        </w:rPr>
        <w:t xml:space="preserve"> bir fark (p&lt;0.001) meydana gelmektedir.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Molekül</w:t>
      </w:r>
      <w:r w:rsidR="00A57109">
        <w:rPr>
          <w:rFonts w:ascii="Times New Roman" w:hAnsi="Times New Roman"/>
          <w:sz w:val="24"/>
          <w:szCs w:val="24"/>
        </w:rPr>
        <w:t>er</w:t>
      </w:r>
      <w:r w:rsidRPr="004B3EB9">
        <w:rPr>
          <w:rFonts w:ascii="Times New Roman" w:hAnsi="Times New Roman"/>
          <w:sz w:val="24"/>
          <w:szCs w:val="24"/>
        </w:rPr>
        <w:t xml:space="preserve"> izlem önemli ek prognostik bilgiler sağlamıştır. TSY olan ve 12 ay sonra Bcr-Abl transkriptlerinde en az 3 log azalma olan hastalar için, 60 ayda hasta</w:t>
      </w:r>
      <w:r w:rsidR="00C60D61" w:rsidRPr="004B3EB9">
        <w:rPr>
          <w:rFonts w:ascii="Times New Roman" w:hAnsi="Times New Roman"/>
          <w:sz w:val="24"/>
          <w:szCs w:val="24"/>
        </w:rPr>
        <w:t>lığın</w:t>
      </w:r>
      <w:r w:rsidRPr="004B3EB9">
        <w:rPr>
          <w:rFonts w:ascii="Times New Roman" w:hAnsi="Times New Roman"/>
          <w:sz w:val="24"/>
          <w:szCs w:val="24"/>
        </w:rPr>
        <w:t xml:space="preserve"> ilerlemeden kalma olasılığı, 12 ayda TSY olmayan hastalarda gözlemlenenden anlamlı düzeyde daha büyüktür (%7</w:t>
      </w:r>
      <w:r w:rsidR="00C60D61" w:rsidRPr="004B3EB9">
        <w:rPr>
          <w:rFonts w:ascii="Times New Roman" w:hAnsi="Times New Roman"/>
          <w:sz w:val="24"/>
          <w:szCs w:val="24"/>
        </w:rPr>
        <w:t>0, p&lt;0.001). Yalnızca AF/BK</w:t>
      </w:r>
      <w:r w:rsidR="00F54064">
        <w:rPr>
          <w:rFonts w:ascii="Times New Roman" w:hAnsi="Times New Roman"/>
          <w:sz w:val="24"/>
          <w:szCs w:val="24"/>
        </w:rPr>
        <w:t>’</w:t>
      </w:r>
      <w:r w:rsidR="00C60D61" w:rsidRPr="004B3EB9">
        <w:rPr>
          <w:rFonts w:ascii="Times New Roman" w:hAnsi="Times New Roman"/>
          <w:sz w:val="24"/>
          <w:szCs w:val="24"/>
        </w:rPr>
        <w:t>ye il</w:t>
      </w:r>
      <w:r w:rsidRPr="004B3EB9">
        <w:rPr>
          <w:rFonts w:ascii="Times New Roman" w:hAnsi="Times New Roman"/>
          <w:sz w:val="24"/>
          <w:szCs w:val="24"/>
        </w:rPr>
        <w:t>erleme dikkate alındığında, tahmin ed</w:t>
      </w:r>
      <w:r w:rsidR="00594F00" w:rsidRPr="004B3EB9">
        <w:rPr>
          <w:rFonts w:ascii="Times New Roman" w:hAnsi="Times New Roman"/>
          <w:sz w:val="24"/>
          <w:szCs w:val="24"/>
        </w:rPr>
        <w:t>il</w:t>
      </w:r>
      <w:r w:rsidRPr="004B3EB9">
        <w:rPr>
          <w:rFonts w:ascii="Times New Roman" w:hAnsi="Times New Roman"/>
          <w:sz w:val="24"/>
          <w:szCs w:val="24"/>
        </w:rPr>
        <w:t>en olaysız</w:t>
      </w:r>
      <w:r w:rsidR="00594F00" w:rsidRPr="004B3EB9">
        <w:rPr>
          <w:rFonts w:ascii="Times New Roman" w:hAnsi="Times New Roman"/>
          <w:sz w:val="24"/>
          <w:szCs w:val="24"/>
        </w:rPr>
        <w:t>lı</w:t>
      </w:r>
      <w:r w:rsidRPr="004B3EB9">
        <w:rPr>
          <w:rFonts w:ascii="Times New Roman" w:hAnsi="Times New Roman"/>
          <w:sz w:val="24"/>
          <w:szCs w:val="24"/>
        </w:rPr>
        <w:t xml:space="preserve">k </w:t>
      </w:r>
      <w:r w:rsidR="00791617" w:rsidRPr="004B3EB9">
        <w:rPr>
          <w:rFonts w:ascii="Times New Roman" w:hAnsi="Times New Roman"/>
          <w:sz w:val="24"/>
          <w:szCs w:val="24"/>
        </w:rPr>
        <w:t>oranları</w:t>
      </w:r>
      <w:r w:rsidRPr="004B3EB9">
        <w:rPr>
          <w:rFonts w:ascii="Times New Roman" w:hAnsi="Times New Roman"/>
          <w:sz w:val="24"/>
          <w:szCs w:val="24"/>
        </w:rPr>
        <w:t>, s</w:t>
      </w:r>
      <w:r w:rsidR="00594F00" w:rsidRPr="004B3EB9">
        <w:rPr>
          <w:rFonts w:ascii="Times New Roman" w:hAnsi="Times New Roman"/>
          <w:sz w:val="24"/>
          <w:szCs w:val="24"/>
        </w:rPr>
        <w:t>ır</w:t>
      </w:r>
      <w:r w:rsidRPr="004B3EB9">
        <w:rPr>
          <w:rFonts w:ascii="Times New Roman" w:hAnsi="Times New Roman"/>
          <w:sz w:val="24"/>
          <w:szCs w:val="24"/>
        </w:rPr>
        <w:t xml:space="preserve">asıyla %100, %95 ve %88 olur (genel olarak p&lt;0.001,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olan ya da olmayan TSY aras</w:t>
      </w:r>
      <w:r w:rsidR="00594F00" w:rsidRPr="004B3EB9">
        <w:rPr>
          <w:rFonts w:ascii="Times New Roman" w:hAnsi="Times New Roman"/>
          <w:sz w:val="24"/>
          <w:szCs w:val="24"/>
        </w:rPr>
        <w:t>ın</w:t>
      </w:r>
      <w:r w:rsidRPr="004B3EB9">
        <w:rPr>
          <w:rFonts w:ascii="Times New Roman" w:hAnsi="Times New Roman"/>
          <w:sz w:val="24"/>
          <w:szCs w:val="24"/>
        </w:rPr>
        <w:t xml:space="preserve">da p=0.007). </w:t>
      </w:r>
      <w:proofErr w:type="gramStart"/>
      <w:r w:rsidRPr="004B3EB9">
        <w:rPr>
          <w:rFonts w:ascii="Times New Roman" w:hAnsi="Times New Roman"/>
          <w:sz w:val="24"/>
          <w:szCs w:val="24"/>
        </w:rPr>
        <w:t>18 aylık dönüm noktası kullanıldığında, 60 ayda tahmin edilen AP/</w:t>
      </w:r>
      <w:r w:rsidR="004D754A" w:rsidRPr="004B3EB9">
        <w:rPr>
          <w:rFonts w:ascii="Times New Roman" w:hAnsi="Times New Roman"/>
          <w:sz w:val="24"/>
          <w:szCs w:val="24"/>
        </w:rPr>
        <w:t>BC</w:t>
      </w:r>
      <w:r w:rsidR="004D754A">
        <w:rPr>
          <w:rFonts w:ascii="Times New Roman" w:hAnsi="Times New Roman"/>
          <w:sz w:val="24"/>
          <w:szCs w:val="24"/>
        </w:rPr>
        <w:t>’</w:t>
      </w:r>
      <w:r w:rsidRPr="004B3EB9">
        <w:rPr>
          <w:rFonts w:ascii="Times New Roman" w:hAnsi="Times New Roman"/>
          <w:sz w:val="24"/>
          <w:szCs w:val="24"/>
        </w:rPr>
        <w:t xml:space="preserve">sizlik oranları TSY ve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 xml:space="preserve">olan hastalar için %100, TSY olan ama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 xml:space="preserve">olmayan hastalar için %98 ve TSY olmayan hastalar için yalnızca %87 olmuştur (genel olarak p&lt;0.001,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olan ya da olmayan TSY arasında p=0.105).</w:t>
      </w:r>
      <w:proofErr w:type="gramEnd"/>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Bu çalışmada ku</w:t>
      </w:r>
      <w:r w:rsidR="00594F00" w:rsidRPr="004B3EB9">
        <w:rPr>
          <w:rFonts w:ascii="Times New Roman" w:hAnsi="Times New Roman"/>
          <w:sz w:val="24"/>
          <w:szCs w:val="24"/>
        </w:rPr>
        <w:t>ll</w:t>
      </w:r>
      <w:r w:rsidRPr="004B3EB9">
        <w:rPr>
          <w:rFonts w:ascii="Times New Roman" w:hAnsi="Times New Roman"/>
          <w:sz w:val="24"/>
          <w:szCs w:val="24"/>
        </w:rPr>
        <w:t>a</w:t>
      </w:r>
      <w:r w:rsidR="00594F00" w:rsidRPr="004B3EB9">
        <w:rPr>
          <w:rFonts w:ascii="Times New Roman" w:hAnsi="Times New Roman"/>
          <w:sz w:val="24"/>
          <w:szCs w:val="24"/>
        </w:rPr>
        <w:t>nı</w:t>
      </w:r>
      <w:r w:rsidRPr="004B3EB9">
        <w:rPr>
          <w:rFonts w:ascii="Times New Roman" w:hAnsi="Times New Roman"/>
          <w:sz w:val="24"/>
          <w:szCs w:val="24"/>
        </w:rPr>
        <w:t>lan dozlar</w:t>
      </w:r>
      <w:r w:rsidR="00594F00" w:rsidRPr="004B3EB9">
        <w:rPr>
          <w:rFonts w:ascii="Times New Roman" w:hAnsi="Times New Roman"/>
          <w:sz w:val="24"/>
          <w:szCs w:val="24"/>
        </w:rPr>
        <w:t>ın günde 400 miligramdan 600 miligrama, daha sonra da 600 mili</w:t>
      </w:r>
      <w:r w:rsidRPr="004B3EB9">
        <w:rPr>
          <w:rFonts w:ascii="Times New Roman" w:hAnsi="Times New Roman"/>
          <w:sz w:val="24"/>
          <w:szCs w:val="24"/>
        </w:rPr>
        <w:t xml:space="preserve">gramdan 800 miligrama yükseltilmesine izin </w:t>
      </w:r>
      <w:r w:rsidR="00594F00" w:rsidRPr="004B3EB9">
        <w:rPr>
          <w:rFonts w:ascii="Times New Roman" w:hAnsi="Times New Roman"/>
          <w:sz w:val="24"/>
          <w:szCs w:val="24"/>
        </w:rPr>
        <w:t>verilmiştir. Dozun günde 800 miligrama artırı</w:t>
      </w:r>
      <w:r w:rsidRPr="004B3EB9">
        <w:rPr>
          <w:rFonts w:ascii="Times New Roman" w:hAnsi="Times New Roman"/>
          <w:sz w:val="24"/>
          <w:szCs w:val="24"/>
        </w:rPr>
        <w:t xml:space="preserve">ldığı 40 hastadaki bazı advers reaksiyonların yüzdesinin, doz artırımından öncesine kıyasla yükseldiği görülmüştür (n=551). Gastrointestinal kanamalar, konjunktivit ve plazmadaki transaminaz ya da </w:t>
      </w:r>
      <w:r w:rsidR="00D30F82" w:rsidRPr="004B3EB9">
        <w:rPr>
          <w:rFonts w:ascii="Times New Roman" w:hAnsi="Times New Roman"/>
          <w:sz w:val="24"/>
          <w:szCs w:val="24"/>
        </w:rPr>
        <w:t>bilir</w:t>
      </w:r>
      <w:r w:rsidR="00D30F82">
        <w:rPr>
          <w:rFonts w:ascii="Times New Roman" w:hAnsi="Times New Roman"/>
          <w:sz w:val="24"/>
          <w:szCs w:val="24"/>
        </w:rPr>
        <w:t>ü</w:t>
      </w:r>
      <w:r w:rsidR="00D30F82" w:rsidRPr="004B3EB9">
        <w:rPr>
          <w:rFonts w:ascii="Times New Roman" w:hAnsi="Times New Roman"/>
          <w:sz w:val="24"/>
          <w:szCs w:val="24"/>
        </w:rPr>
        <w:t xml:space="preserve">bin </w:t>
      </w:r>
      <w:r w:rsidRPr="004B3EB9">
        <w:rPr>
          <w:rFonts w:ascii="Times New Roman" w:hAnsi="Times New Roman"/>
          <w:sz w:val="24"/>
          <w:szCs w:val="24"/>
        </w:rPr>
        <w:t>düzeylerinin yükselmesi; doz art</w:t>
      </w:r>
      <w:r w:rsidR="00594F00" w:rsidRPr="004B3EB9">
        <w:rPr>
          <w:rFonts w:ascii="Times New Roman" w:hAnsi="Times New Roman"/>
          <w:sz w:val="24"/>
          <w:szCs w:val="24"/>
        </w:rPr>
        <w:t>ı</w:t>
      </w:r>
      <w:r w:rsidRPr="004B3EB9">
        <w:rPr>
          <w:rFonts w:ascii="Times New Roman" w:hAnsi="Times New Roman"/>
          <w:sz w:val="24"/>
          <w:szCs w:val="24"/>
        </w:rPr>
        <w:t>r</w:t>
      </w:r>
      <w:r w:rsidR="00594F00" w:rsidRPr="004B3EB9">
        <w:rPr>
          <w:rFonts w:ascii="Times New Roman" w:hAnsi="Times New Roman"/>
          <w:sz w:val="24"/>
          <w:szCs w:val="24"/>
        </w:rPr>
        <w:t>ı</w:t>
      </w:r>
      <w:r w:rsidRPr="004B3EB9">
        <w:rPr>
          <w:rFonts w:ascii="Times New Roman" w:hAnsi="Times New Roman"/>
          <w:sz w:val="24"/>
          <w:szCs w:val="24"/>
        </w:rPr>
        <w:t>ldığ</w:t>
      </w:r>
      <w:r w:rsidR="00594F00" w:rsidRPr="004B3EB9">
        <w:rPr>
          <w:rFonts w:ascii="Times New Roman" w:hAnsi="Times New Roman"/>
          <w:sz w:val="24"/>
          <w:szCs w:val="24"/>
        </w:rPr>
        <w:t>ın</w:t>
      </w:r>
      <w:r w:rsidRPr="004B3EB9">
        <w:rPr>
          <w:rFonts w:ascii="Times New Roman" w:hAnsi="Times New Roman"/>
          <w:sz w:val="24"/>
          <w:szCs w:val="24"/>
        </w:rPr>
        <w:t>da daha sık görülen advers reaksiyonlardandır</w:t>
      </w:r>
      <w:r w:rsidR="00141666" w:rsidRPr="004B3EB9">
        <w:rPr>
          <w:rFonts w:ascii="Times New Roman" w:hAnsi="Times New Roman"/>
          <w:sz w:val="24"/>
          <w:szCs w:val="24"/>
        </w:rPr>
        <w:t>.</w:t>
      </w:r>
      <w:r w:rsidRPr="004B3EB9">
        <w:rPr>
          <w:rFonts w:ascii="Times New Roman" w:hAnsi="Times New Roman"/>
          <w:sz w:val="24"/>
          <w:szCs w:val="24"/>
        </w:rPr>
        <w:t xml:space="preserve"> Diğer advers reaksiyonlar ise doz artırıldıktan sonra, önceye kıyasla daha seyrek veya ay</w:t>
      </w:r>
      <w:r w:rsidR="00594F00" w:rsidRPr="004B3EB9">
        <w:rPr>
          <w:rFonts w:ascii="Times New Roman" w:hAnsi="Times New Roman"/>
          <w:sz w:val="24"/>
          <w:szCs w:val="24"/>
        </w:rPr>
        <w:t>nı</w:t>
      </w:r>
      <w:r w:rsidRPr="004B3EB9">
        <w:rPr>
          <w:rFonts w:ascii="Times New Roman" w:hAnsi="Times New Roman"/>
          <w:sz w:val="24"/>
          <w:szCs w:val="24"/>
        </w:rPr>
        <w:t xml:space="preserve"> sıklıkta görülmüştür.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Yaşam ka</w:t>
      </w:r>
      <w:r w:rsidR="00594F00" w:rsidRPr="004B3EB9">
        <w:rPr>
          <w:rFonts w:ascii="Times New Roman" w:hAnsi="Times New Roman"/>
          <w:sz w:val="24"/>
          <w:szCs w:val="24"/>
        </w:rPr>
        <w:t>li</w:t>
      </w:r>
      <w:r w:rsidRPr="004B3EB9">
        <w:rPr>
          <w:rFonts w:ascii="Times New Roman" w:hAnsi="Times New Roman"/>
          <w:sz w:val="24"/>
          <w:szCs w:val="24"/>
        </w:rPr>
        <w:t>tesi, geçerli</w:t>
      </w:r>
      <w:r w:rsidR="00594F00" w:rsidRPr="004B3EB9">
        <w:rPr>
          <w:rFonts w:ascii="Times New Roman" w:hAnsi="Times New Roman"/>
          <w:sz w:val="24"/>
          <w:szCs w:val="24"/>
        </w:rPr>
        <w:t>li</w:t>
      </w:r>
      <w:r w:rsidRPr="004B3EB9">
        <w:rPr>
          <w:rFonts w:ascii="Times New Roman" w:hAnsi="Times New Roman"/>
          <w:sz w:val="24"/>
          <w:szCs w:val="24"/>
        </w:rPr>
        <w:t xml:space="preserve">ği kanıtlanmış bir </w:t>
      </w:r>
      <w:proofErr w:type="gramStart"/>
      <w:r w:rsidRPr="004B3EB9">
        <w:rPr>
          <w:rFonts w:ascii="Times New Roman" w:hAnsi="Times New Roman"/>
          <w:sz w:val="24"/>
          <w:szCs w:val="24"/>
        </w:rPr>
        <w:t>enstrüman</w:t>
      </w:r>
      <w:proofErr w:type="gramEnd"/>
      <w:r w:rsidRPr="004B3EB9">
        <w:rPr>
          <w:rFonts w:ascii="Times New Roman" w:hAnsi="Times New Roman"/>
          <w:sz w:val="24"/>
          <w:szCs w:val="24"/>
        </w:rPr>
        <w:t xml:space="preserve"> olan FACT-BRM anketiyle değerlendirildi. Bu anketin bütün bölümlerinde </w:t>
      </w:r>
      <w:r w:rsidR="00594F00" w:rsidRPr="004B3EB9">
        <w:rPr>
          <w:rFonts w:ascii="Times New Roman" w:hAnsi="Times New Roman"/>
          <w:sz w:val="24"/>
          <w:szCs w:val="24"/>
        </w:rPr>
        <w:t>imatinib</w:t>
      </w:r>
      <w:r w:rsidRPr="004B3EB9">
        <w:rPr>
          <w:rFonts w:ascii="Times New Roman" w:hAnsi="Times New Roman"/>
          <w:sz w:val="24"/>
          <w:szCs w:val="24"/>
        </w:rPr>
        <w:t xml:space="preserve"> grubu, IFN + ARA-C grubuna kıyasla istatistik bakımdan anlam taşıyacak şek</w:t>
      </w:r>
      <w:r w:rsidR="00594F00" w:rsidRPr="004B3EB9">
        <w:rPr>
          <w:rFonts w:ascii="Times New Roman" w:hAnsi="Times New Roman"/>
          <w:sz w:val="24"/>
          <w:szCs w:val="24"/>
        </w:rPr>
        <w:t>il</w:t>
      </w:r>
      <w:r w:rsidRPr="004B3EB9">
        <w:rPr>
          <w:rFonts w:ascii="Times New Roman" w:hAnsi="Times New Roman"/>
          <w:sz w:val="24"/>
          <w:szCs w:val="24"/>
        </w:rPr>
        <w:t xml:space="preserve">de daha yüksek puan aldı. Sonuçlar, </w:t>
      </w:r>
      <w:r w:rsidR="009E236D" w:rsidRPr="004B3EB9">
        <w:rPr>
          <w:rFonts w:ascii="Times New Roman" w:hAnsi="Times New Roman"/>
          <w:sz w:val="24"/>
          <w:szCs w:val="24"/>
        </w:rPr>
        <w:t>hastaların</w:t>
      </w:r>
      <w:r w:rsidR="00594F00" w:rsidRPr="004B3EB9">
        <w:rPr>
          <w:rFonts w:ascii="Times New Roman" w:hAnsi="Times New Roman"/>
          <w:sz w:val="24"/>
          <w:szCs w:val="24"/>
        </w:rPr>
        <w:t xml:space="preserve"> yaşam kalit</w:t>
      </w:r>
      <w:r w:rsidRPr="004B3EB9">
        <w:rPr>
          <w:rFonts w:ascii="Times New Roman" w:hAnsi="Times New Roman"/>
          <w:sz w:val="24"/>
          <w:szCs w:val="24"/>
        </w:rPr>
        <w:t xml:space="preserve">esinin </w:t>
      </w:r>
      <w:r w:rsidR="00594F00" w:rsidRPr="004B3EB9">
        <w:rPr>
          <w:rFonts w:ascii="Times New Roman" w:hAnsi="Times New Roman"/>
          <w:sz w:val="24"/>
          <w:szCs w:val="24"/>
        </w:rPr>
        <w:t xml:space="preserve">imatinib </w:t>
      </w:r>
      <w:r w:rsidRPr="004B3EB9">
        <w:rPr>
          <w:rFonts w:ascii="Times New Roman" w:hAnsi="Times New Roman"/>
          <w:sz w:val="24"/>
          <w:szCs w:val="24"/>
        </w:rPr>
        <w:t xml:space="preserve">tedavisi </w:t>
      </w:r>
      <w:r w:rsidR="004F3870" w:rsidRPr="004B3EB9">
        <w:rPr>
          <w:rFonts w:ascii="Times New Roman" w:hAnsi="Times New Roman"/>
          <w:sz w:val="24"/>
          <w:szCs w:val="24"/>
        </w:rPr>
        <w:t>sırasında</w:t>
      </w:r>
      <w:r w:rsidRPr="004B3EB9">
        <w:rPr>
          <w:rFonts w:ascii="Times New Roman" w:hAnsi="Times New Roman"/>
          <w:sz w:val="24"/>
          <w:szCs w:val="24"/>
        </w:rPr>
        <w:t xml:space="preserve"> iyi durumda kaldı</w:t>
      </w:r>
      <w:r w:rsidR="008E32E3" w:rsidRPr="004B3EB9">
        <w:rPr>
          <w:rFonts w:ascii="Times New Roman" w:hAnsi="Times New Roman"/>
          <w:sz w:val="24"/>
          <w:szCs w:val="24"/>
        </w:rPr>
        <w:t>ğını</w:t>
      </w:r>
      <w:r w:rsidRPr="004B3EB9">
        <w:rPr>
          <w:rFonts w:ascii="Times New Roman" w:hAnsi="Times New Roman"/>
          <w:sz w:val="24"/>
          <w:szCs w:val="24"/>
        </w:rPr>
        <w:t xml:space="preserve"> gösterdi.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i/>
          <w:iCs/>
          <w:sz w:val="24"/>
          <w:szCs w:val="24"/>
        </w:rPr>
        <w:t xml:space="preserve">Kronik faz, interferon tedavisinin başarısız kaldığı hastalar: </w:t>
      </w:r>
      <w:r w:rsidRPr="004B3EB9">
        <w:rPr>
          <w:rFonts w:ascii="Times New Roman" w:hAnsi="Times New Roman"/>
          <w:sz w:val="24"/>
          <w:szCs w:val="24"/>
        </w:rPr>
        <w:t xml:space="preserve">532 hasta, 400 </w:t>
      </w:r>
      <w:r w:rsidR="00594F00" w:rsidRPr="004B3EB9">
        <w:rPr>
          <w:rFonts w:ascii="Times New Roman" w:hAnsi="Times New Roman"/>
          <w:sz w:val="24"/>
          <w:szCs w:val="24"/>
        </w:rPr>
        <w:t>mili</w:t>
      </w:r>
      <w:r w:rsidRPr="004B3EB9">
        <w:rPr>
          <w:rFonts w:ascii="Times New Roman" w:hAnsi="Times New Roman"/>
          <w:sz w:val="24"/>
          <w:szCs w:val="24"/>
        </w:rPr>
        <w:t>gram</w:t>
      </w:r>
      <w:r w:rsidR="00594F00" w:rsidRPr="004B3EB9">
        <w:rPr>
          <w:rFonts w:ascii="Times New Roman" w:hAnsi="Times New Roman"/>
          <w:sz w:val="24"/>
          <w:szCs w:val="24"/>
        </w:rPr>
        <w:t>lı</w:t>
      </w:r>
      <w:r w:rsidRPr="004B3EB9">
        <w:rPr>
          <w:rFonts w:ascii="Times New Roman" w:hAnsi="Times New Roman"/>
          <w:sz w:val="24"/>
          <w:szCs w:val="24"/>
        </w:rPr>
        <w:t xml:space="preserve">k başlangıç dozuyla tedavi edildi. Bu hastalar; hematolojik </w:t>
      </w:r>
      <w:r w:rsidR="004F3870" w:rsidRPr="004B3EB9">
        <w:rPr>
          <w:rFonts w:ascii="Times New Roman" w:hAnsi="Times New Roman"/>
          <w:sz w:val="24"/>
          <w:szCs w:val="24"/>
        </w:rPr>
        <w:t>başarısız</w:t>
      </w:r>
      <w:r w:rsidRPr="004B3EB9">
        <w:rPr>
          <w:rFonts w:ascii="Times New Roman" w:hAnsi="Times New Roman"/>
          <w:sz w:val="24"/>
          <w:szCs w:val="24"/>
        </w:rPr>
        <w:t>lık (%29), sitogenetik başarısızlık (%35) veya interferon intoleransı (%36) olmak üzere ba</w:t>
      </w:r>
      <w:r w:rsidR="00594F00" w:rsidRPr="004B3EB9">
        <w:rPr>
          <w:rFonts w:ascii="Times New Roman" w:hAnsi="Times New Roman"/>
          <w:sz w:val="24"/>
          <w:szCs w:val="24"/>
        </w:rPr>
        <w:t>şlı</w:t>
      </w:r>
      <w:r w:rsidRPr="004B3EB9">
        <w:rPr>
          <w:rFonts w:ascii="Times New Roman" w:hAnsi="Times New Roman"/>
          <w:sz w:val="24"/>
          <w:szCs w:val="24"/>
        </w:rPr>
        <w:t>ca 3 gruptu. Hastalar, bu ça</w:t>
      </w:r>
      <w:r w:rsidR="00594F00" w:rsidRPr="004B3EB9">
        <w:rPr>
          <w:rFonts w:ascii="Times New Roman" w:hAnsi="Times New Roman"/>
          <w:sz w:val="24"/>
          <w:szCs w:val="24"/>
        </w:rPr>
        <w:t>lı</w:t>
      </w:r>
      <w:r w:rsidRPr="004B3EB9">
        <w:rPr>
          <w:rFonts w:ascii="Times New Roman" w:hAnsi="Times New Roman"/>
          <w:sz w:val="24"/>
          <w:szCs w:val="24"/>
        </w:rPr>
        <w:t xml:space="preserve">şma öncesinde medyan 14 ay boyunca haftada </w:t>
      </w:r>
      <w:r w:rsidR="00594F00" w:rsidRPr="004B3EB9">
        <w:rPr>
          <w:rFonts w:ascii="Times New Roman" w:hAnsi="Times New Roman"/>
          <w:sz w:val="24"/>
          <w:szCs w:val="24"/>
        </w:rPr>
        <w:t>≥</w:t>
      </w:r>
      <w:r w:rsidRPr="004B3EB9">
        <w:rPr>
          <w:rFonts w:ascii="Times New Roman" w:hAnsi="Times New Roman"/>
          <w:sz w:val="24"/>
          <w:szCs w:val="24"/>
        </w:rPr>
        <w:t xml:space="preserve"> 25 xl0</w:t>
      </w:r>
      <w:r w:rsidRPr="004B3EB9">
        <w:rPr>
          <w:rFonts w:ascii="Times New Roman" w:hAnsi="Times New Roman"/>
          <w:sz w:val="24"/>
          <w:szCs w:val="24"/>
          <w:vertAlign w:val="superscript"/>
        </w:rPr>
        <w:t>6</w:t>
      </w:r>
      <w:r w:rsidR="00594F00" w:rsidRPr="004B3EB9">
        <w:rPr>
          <w:rFonts w:ascii="Times New Roman" w:hAnsi="Times New Roman"/>
          <w:sz w:val="24"/>
          <w:szCs w:val="24"/>
        </w:rPr>
        <w:t xml:space="preserve"> IU dozunda interferon kull</w:t>
      </w:r>
      <w:r w:rsidRPr="004B3EB9">
        <w:rPr>
          <w:rFonts w:ascii="Times New Roman" w:hAnsi="Times New Roman"/>
          <w:sz w:val="24"/>
          <w:szCs w:val="24"/>
        </w:rPr>
        <w:t xml:space="preserve">anmış bulunan, geç kronik faz vakalarıydı ve </w:t>
      </w:r>
      <w:r w:rsidR="00141666" w:rsidRPr="004B3EB9">
        <w:rPr>
          <w:rFonts w:ascii="Times New Roman" w:hAnsi="Times New Roman"/>
          <w:sz w:val="24"/>
          <w:szCs w:val="24"/>
        </w:rPr>
        <w:t>tanı</w:t>
      </w:r>
      <w:r w:rsidRPr="004B3EB9">
        <w:rPr>
          <w:rFonts w:ascii="Times New Roman" w:hAnsi="Times New Roman"/>
          <w:sz w:val="24"/>
          <w:szCs w:val="24"/>
        </w:rPr>
        <w:t xml:space="preserve"> konulduktan </w:t>
      </w:r>
      <w:r w:rsidR="00A34649" w:rsidRPr="004B3EB9">
        <w:rPr>
          <w:rFonts w:ascii="Times New Roman" w:hAnsi="Times New Roman"/>
          <w:sz w:val="24"/>
          <w:szCs w:val="24"/>
        </w:rPr>
        <w:t>sonra</w:t>
      </w:r>
      <w:r w:rsidRPr="004B3EB9">
        <w:rPr>
          <w:rFonts w:ascii="Times New Roman" w:hAnsi="Times New Roman"/>
          <w:sz w:val="24"/>
          <w:szCs w:val="24"/>
        </w:rPr>
        <w:t xml:space="preserve"> geçen medyan süre 32 aydı. Majör sitogenetik </w:t>
      </w:r>
      <w:r w:rsidR="00594F00" w:rsidRPr="004B3EB9">
        <w:rPr>
          <w:rFonts w:ascii="Times New Roman" w:hAnsi="Times New Roman"/>
          <w:sz w:val="24"/>
          <w:szCs w:val="24"/>
        </w:rPr>
        <w:t>yanıt</w:t>
      </w:r>
      <w:r w:rsidRPr="004B3EB9">
        <w:rPr>
          <w:rFonts w:ascii="Times New Roman" w:hAnsi="Times New Roman"/>
          <w:sz w:val="24"/>
          <w:szCs w:val="24"/>
        </w:rPr>
        <w:t xml:space="preserve"> (tam + kısmi </w:t>
      </w:r>
      <w:r w:rsidR="00594F00" w:rsidRPr="004B3EB9">
        <w:rPr>
          <w:rFonts w:ascii="Times New Roman" w:hAnsi="Times New Roman"/>
          <w:sz w:val="24"/>
          <w:szCs w:val="24"/>
        </w:rPr>
        <w:t>yanıt, kemik ili</w:t>
      </w:r>
      <w:r w:rsidRPr="004B3EB9">
        <w:rPr>
          <w:rFonts w:ascii="Times New Roman" w:hAnsi="Times New Roman"/>
          <w:sz w:val="24"/>
          <w:szCs w:val="24"/>
        </w:rPr>
        <w:t xml:space="preserve">ğinde %0-35 Ph+ metafaz) oranı, bu </w:t>
      </w:r>
      <w:r w:rsidR="00594F00" w:rsidRPr="004B3EB9">
        <w:rPr>
          <w:rFonts w:ascii="Times New Roman" w:hAnsi="Times New Roman"/>
          <w:sz w:val="24"/>
          <w:szCs w:val="24"/>
        </w:rPr>
        <w:t>çalışma</w:t>
      </w:r>
      <w:r w:rsidRPr="004B3EB9">
        <w:rPr>
          <w:rFonts w:ascii="Times New Roman" w:hAnsi="Times New Roman"/>
          <w:sz w:val="24"/>
          <w:szCs w:val="24"/>
        </w:rPr>
        <w:t xml:space="preserve">daki </w:t>
      </w:r>
      <w:r w:rsidR="00594F00" w:rsidRPr="004B3EB9">
        <w:rPr>
          <w:rFonts w:ascii="Times New Roman" w:hAnsi="Times New Roman"/>
          <w:sz w:val="24"/>
          <w:szCs w:val="24"/>
        </w:rPr>
        <w:t>başlıca</w:t>
      </w:r>
      <w:r w:rsidRPr="004B3EB9">
        <w:rPr>
          <w:rFonts w:ascii="Times New Roman" w:hAnsi="Times New Roman"/>
          <w:sz w:val="24"/>
          <w:szCs w:val="24"/>
        </w:rPr>
        <w:t xml:space="preserve"> etkinlik parametresi olarak değerlendirildi.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Bu </w:t>
      </w:r>
      <w:r w:rsidR="00594F00" w:rsidRPr="004B3EB9">
        <w:rPr>
          <w:rFonts w:ascii="Times New Roman" w:hAnsi="Times New Roman"/>
          <w:sz w:val="24"/>
          <w:szCs w:val="24"/>
        </w:rPr>
        <w:t>çalışma</w:t>
      </w:r>
      <w:r w:rsidRPr="004B3EB9">
        <w:rPr>
          <w:rFonts w:ascii="Times New Roman" w:hAnsi="Times New Roman"/>
          <w:sz w:val="24"/>
          <w:szCs w:val="24"/>
        </w:rPr>
        <w:t xml:space="preserve">da </w:t>
      </w:r>
      <w:r w:rsidR="009E236D" w:rsidRPr="004B3EB9">
        <w:rPr>
          <w:rFonts w:ascii="Times New Roman" w:hAnsi="Times New Roman"/>
          <w:sz w:val="24"/>
          <w:szCs w:val="24"/>
        </w:rPr>
        <w:t>hastaların</w:t>
      </w:r>
      <w:r w:rsidRPr="004B3EB9">
        <w:rPr>
          <w:rFonts w:ascii="Times New Roman" w:hAnsi="Times New Roman"/>
          <w:sz w:val="24"/>
          <w:szCs w:val="24"/>
        </w:rPr>
        <w:t xml:space="preserve"> % 65</w:t>
      </w:r>
      <w:r w:rsidR="00F54064">
        <w:rPr>
          <w:rFonts w:ascii="Times New Roman" w:hAnsi="Times New Roman"/>
          <w:sz w:val="24"/>
          <w:szCs w:val="24"/>
        </w:rPr>
        <w:t>’</w:t>
      </w:r>
      <w:r w:rsidRPr="004B3EB9">
        <w:rPr>
          <w:rFonts w:ascii="Times New Roman" w:hAnsi="Times New Roman"/>
          <w:sz w:val="24"/>
          <w:szCs w:val="24"/>
        </w:rPr>
        <w:t>inde (% 53</w:t>
      </w:r>
      <w:r w:rsidR="00F54064">
        <w:rPr>
          <w:rFonts w:ascii="Times New Roman" w:hAnsi="Times New Roman"/>
          <w:sz w:val="24"/>
          <w:szCs w:val="24"/>
        </w:rPr>
        <w:t>’</w:t>
      </w:r>
      <w:r w:rsidRPr="004B3EB9">
        <w:rPr>
          <w:rFonts w:ascii="Times New Roman" w:hAnsi="Times New Roman"/>
          <w:sz w:val="24"/>
          <w:szCs w:val="24"/>
        </w:rPr>
        <w:t xml:space="preserve">ü tam olmak üzere) majör sitogenetik </w:t>
      </w:r>
      <w:r w:rsidR="00594F00" w:rsidRPr="004B3EB9">
        <w:rPr>
          <w:rFonts w:ascii="Times New Roman" w:hAnsi="Times New Roman"/>
          <w:sz w:val="24"/>
          <w:szCs w:val="24"/>
        </w:rPr>
        <w:t>yanıt</w:t>
      </w:r>
      <w:r w:rsidRPr="004B3EB9">
        <w:rPr>
          <w:rFonts w:ascii="Times New Roman" w:hAnsi="Times New Roman"/>
          <w:sz w:val="24"/>
          <w:szCs w:val="24"/>
        </w:rPr>
        <w:t xml:space="preserve"> elde edildi (Tablo 4). </w:t>
      </w:r>
      <w:r w:rsidR="009E236D" w:rsidRPr="004B3EB9">
        <w:rPr>
          <w:rFonts w:ascii="Times New Roman" w:hAnsi="Times New Roman"/>
          <w:sz w:val="24"/>
          <w:szCs w:val="24"/>
        </w:rPr>
        <w:t>Hastaların</w:t>
      </w:r>
      <w:r w:rsidRPr="004B3EB9">
        <w:rPr>
          <w:rFonts w:ascii="Times New Roman" w:hAnsi="Times New Roman"/>
          <w:sz w:val="24"/>
          <w:szCs w:val="24"/>
        </w:rPr>
        <w:t xml:space="preserve"> %95</w:t>
      </w:r>
      <w:r w:rsidR="00F54064">
        <w:rPr>
          <w:rFonts w:ascii="Times New Roman" w:hAnsi="Times New Roman"/>
          <w:sz w:val="24"/>
          <w:szCs w:val="24"/>
        </w:rPr>
        <w:t>’</w:t>
      </w:r>
      <w:r w:rsidRPr="004B3EB9">
        <w:rPr>
          <w:rFonts w:ascii="Times New Roman" w:hAnsi="Times New Roman"/>
          <w:sz w:val="24"/>
          <w:szCs w:val="24"/>
        </w:rPr>
        <w:t xml:space="preserve">i bu tedaviye tam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verdi.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i/>
          <w:iCs/>
          <w:sz w:val="24"/>
          <w:szCs w:val="24"/>
        </w:rPr>
        <w:t xml:space="preserve">Hızlanmış faz: </w:t>
      </w:r>
      <w:r w:rsidRPr="004B3EB9">
        <w:rPr>
          <w:rFonts w:ascii="Times New Roman" w:hAnsi="Times New Roman"/>
          <w:sz w:val="24"/>
          <w:szCs w:val="24"/>
        </w:rPr>
        <w:t>Bu fazdaki 235 KML vakas</w:t>
      </w:r>
      <w:r w:rsidR="00594F00" w:rsidRPr="004B3EB9">
        <w:rPr>
          <w:rFonts w:ascii="Times New Roman" w:hAnsi="Times New Roman"/>
          <w:sz w:val="24"/>
          <w:szCs w:val="24"/>
        </w:rPr>
        <w:t>ını</w:t>
      </w:r>
      <w:r w:rsidRPr="004B3EB9">
        <w:rPr>
          <w:rFonts w:ascii="Times New Roman" w:hAnsi="Times New Roman"/>
          <w:sz w:val="24"/>
          <w:szCs w:val="24"/>
        </w:rPr>
        <w:t>n ilk 77</w:t>
      </w:r>
      <w:r w:rsidR="00F54064">
        <w:rPr>
          <w:rFonts w:ascii="Times New Roman" w:hAnsi="Times New Roman"/>
          <w:sz w:val="24"/>
          <w:szCs w:val="24"/>
        </w:rPr>
        <w:t>’</w:t>
      </w:r>
      <w:r w:rsidRPr="004B3EB9">
        <w:rPr>
          <w:rFonts w:ascii="Times New Roman" w:hAnsi="Times New Roman"/>
          <w:sz w:val="24"/>
          <w:szCs w:val="24"/>
        </w:rPr>
        <w:t xml:space="preserve">sinde tedaviye günde 400 mg ile başlandı; daha </w:t>
      </w:r>
      <w:r w:rsidR="00A34649" w:rsidRPr="004B3EB9">
        <w:rPr>
          <w:rFonts w:ascii="Times New Roman" w:hAnsi="Times New Roman"/>
          <w:sz w:val="24"/>
          <w:szCs w:val="24"/>
        </w:rPr>
        <w:t>sonra</w:t>
      </w:r>
      <w:r w:rsidRPr="004B3EB9">
        <w:rPr>
          <w:rFonts w:ascii="Times New Roman" w:hAnsi="Times New Roman"/>
          <w:sz w:val="24"/>
          <w:szCs w:val="24"/>
        </w:rPr>
        <w:t xml:space="preserve"> </w:t>
      </w:r>
      <w:r w:rsidR="00594F00" w:rsidRPr="004B3EB9">
        <w:rPr>
          <w:rFonts w:ascii="Times New Roman" w:hAnsi="Times New Roman"/>
          <w:sz w:val="24"/>
          <w:szCs w:val="24"/>
        </w:rPr>
        <w:t>çalışma</w:t>
      </w:r>
      <w:r w:rsidRPr="004B3EB9">
        <w:rPr>
          <w:rFonts w:ascii="Times New Roman" w:hAnsi="Times New Roman"/>
          <w:sz w:val="24"/>
          <w:szCs w:val="24"/>
        </w:rPr>
        <w:t xml:space="preserve"> protokolü, daha yüksek </w:t>
      </w:r>
      <w:r w:rsidR="00594F00" w:rsidRPr="004B3EB9">
        <w:rPr>
          <w:rFonts w:ascii="Times New Roman" w:hAnsi="Times New Roman"/>
          <w:sz w:val="24"/>
          <w:szCs w:val="24"/>
        </w:rPr>
        <w:t>imatinib</w:t>
      </w:r>
      <w:r w:rsidRPr="004B3EB9">
        <w:rPr>
          <w:rFonts w:ascii="Times New Roman" w:hAnsi="Times New Roman"/>
          <w:sz w:val="24"/>
          <w:szCs w:val="24"/>
        </w:rPr>
        <w:t xml:space="preserve"> dozlarının </w:t>
      </w:r>
      <w:r w:rsidR="00594F00" w:rsidRPr="004B3EB9">
        <w:rPr>
          <w:rFonts w:ascii="Times New Roman" w:hAnsi="Times New Roman"/>
          <w:sz w:val="24"/>
          <w:szCs w:val="24"/>
        </w:rPr>
        <w:t>kullanılmasına</w:t>
      </w:r>
      <w:r w:rsidRPr="004B3EB9">
        <w:rPr>
          <w:rFonts w:ascii="Times New Roman" w:hAnsi="Times New Roman"/>
          <w:sz w:val="24"/>
          <w:szCs w:val="24"/>
        </w:rPr>
        <w:t xml:space="preserve"> olanak tanıyacak şek</w:t>
      </w:r>
      <w:r w:rsidR="00594F00" w:rsidRPr="004B3EB9">
        <w:rPr>
          <w:rFonts w:ascii="Times New Roman" w:hAnsi="Times New Roman"/>
          <w:sz w:val="24"/>
          <w:szCs w:val="24"/>
        </w:rPr>
        <w:t>ilde</w:t>
      </w:r>
      <w:r w:rsidRPr="004B3EB9">
        <w:rPr>
          <w:rFonts w:ascii="Times New Roman" w:hAnsi="Times New Roman"/>
          <w:sz w:val="24"/>
          <w:szCs w:val="24"/>
        </w:rPr>
        <w:t xml:space="preserve"> tad</w:t>
      </w:r>
      <w:r w:rsidR="00594F00" w:rsidRPr="004B3EB9">
        <w:rPr>
          <w:rFonts w:ascii="Times New Roman" w:hAnsi="Times New Roman"/>
          <w:sz w:val="24"/>
          <w:szCs w:val="24"/>
        </w:rPr>
        <w:t>il</w:t>
      </w:r>
      <w:r w:rsidRPr="004B3EB9">
        <w:rPr>
          <w:rFonts w:ascii="Times New Roman" w:hAnsi="Times New Roman"/>
          <w:sz w:val="24"/>
          <w:szCs w:val="24"/>
        </w:rPr>
        <w:t xml:space="preserve"> ed</w:t>
      </w:r>
      <w:r w:rsidR="00594F00" w:rsidRPr="004B3EB9">
        <w:rPr>
          <w:rFonts w:ascii="Times New Roman" w:hAnsi="Times New Roman"/>
          <w:sz w:val="24"/>
          <w:szCs w:val="24"/>
        </w:rPr>
        <w:t>ildi</w:t>
      </w:r>
      <w:r w:rsidRPr="004B3EB9">
        <w:rPr>
          <w:rFonts w:ascii="Times New Roman" w:hAnsi="Times New Roman"/>
          <w:sz w:val="24"/>
          <w:szCs w:val="24"/>
        </w:rPr>
        <w:t xml:space="preserve"> ve geriye kalan 158 hasta, başlangıçta 600 mg </w:t>
      </w:r>
      <w:r w:rsidR="00594F00" w:rsidRPr="004B3EB9">
        <w:rPr>
          <w:rFonts w:ascii="Times New Roman" w:hAnsi="Times New Roman"/>
          <w:sz w:val="24"/>
          <w:szCs w:val="24"/>
        </w:rPr>
        <w:t xml:space="preserve">imatinib </w:t>
      </w:r>
      <w:r w:rsidRPr="004B3EB9">
        <w:rPr>
          <w:rFonts w:ascii="Times New Roman" w:hAnsi="Times New Roman"/>
          <w:sz w:val="24"/>
          <w:szCs w:val="24"/>
        </w:rPr>
        <w:t>ku</w:t>
      </w:r>
      <w:r w:rsidR="00594F00" w:rsidRPr="004B3EB9">
        <w:rPr>
          <w:rFonts w:ascii="Times New Roman" w:hAnsi="Times New Roman"/>
          <w:sz w:val="24"/>
          <w:szCs w:val="24"/>
        </w:rPr>
        <w:t>ll</w:t>
      </w:r>
      <w:r w:rsidRPr="004B3EB9">
        <w:rPr>
          <w:rFonts w:ascii="Times New Roman" w:hAnsi="Times New Roman"/>
          <w:sz w:val="24"/>
          <w:szCs w:val="24"/>
        </w:rPr>
        <w:t>andı.</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Tam hematolojik </w:t>
      </w:r>
      <w:r w:rsidR="00594F00" w:rsidRPr="004B3EB9">
        <w:rPr>
          <w:rFonts w:ascii="Times New Roman" w:hAnsi="Times New Roman"/>
          <w:sz w:val="24"/>
          <w:szCs w:val="24"/>
        </w:rPr>
        <w:t>yanıt</w:t>
      </w:r>
      <w:r w:rsidRPr="004B3EB9">
        <w:rPr>
          <w:rFonts w:ascii="Times New Roman" w:hAnsi="Times New Roman"/>
          <w:sz w:val="24"/>
          <w:szCs w:val="24"/>
        </w:rPr>
        <w:t>, hiçbir lösemi ka</w:t>
      </w:r>
      <w:r w:rsidR="00594F00" w:rsidRPr="004B3EB9">
        <w:rPr>
          <w:rFonts w:ascii="Times New Roman" w:hAnsi="Times New Roman"/>
          <w:sz w:val="24"/>
          <w:szCs w:val="24"/>
        </w:rPr>
        <w:t>nıtının mevcut olmaması (kemik ili</w:t>
      </w:r>
      <w:r w:rsidRPr="004B3EB9">
        <w:rPr>
          <w:rFonts w:ascii="Times New Roman" w:hAnsi="Times New Roman"/>
          <w:sz w:val="24"/>
          <w:szCs w:val="24"/>
        </w:rPr>
        <w:t xml:space="preserve">ğindeki ve kandaki blast hücrelerinin kaybolması, ancak periferik kan tablosunda, tam </w:t>
      </w:r>
      <w:r w:rsidR="00594F00" w:rsidRPr="004B3EB9">
        <w:rPr>
          <w:rFonts w:ascii="Times New Roman" w:hAnsi="Times New Roman"/>
          <w:sz w:val="24"/>
          <w:szCs w:val="24"/>
        </w:rPr>
        <w:t>yanıt</w:t>
      </w:r>
      <w:r w:rsidRPr="004B3EB9">
        <w:rPr>
          <w:rFonts w:ascii="Times New Roman" w:hAnsi="Times New Roman"/>
          <w:sz w:val="24"/>
          <w:szCs w:val="24"/>
        </w:rPr>
        <w:t xml:space="preserve"> için gereken düzelmenin gerçekleşmemesi) veya kronik faz kronik miyeloid lösemiye dönüş olarak tanımlanan tam hematolojik yanıt e</w:t>
      </w:r>
      <w:r w:rsidR="00141666" w:rsidRPr="004B3EB9">
        <w:rPr>
          <w:rFonts w:ascii="Times New Roman" w:hAnsi="Times New Roman"/>
          <w:sz w:val="24"/>
          <w:szCs w:val="24"/>
        </w:rPr>
        <w:t>l</w:t>
      </w:r>
      <w:r w:rsidRPr="004B3EB9">
        <w:rPr>
          <w:rFonts w:ascii="Times New Roman" w:hAnsi="Times New Roman"/>
          <w:sz w:val="24"/>
          <w:szCs w:val="24"/>
        </w:rPr>
        <w:t xml:space="preserve">de edilme </w:t>
      </w:r>
      <w:r w:rsidR="004F3870" w:rsidRPr="004B3EB9">
        <w:rPr>
          <w:rFonts w:ascii="Times New Roman" w:hAnsi="Times New Roman"/>
          <w:sz w:val="24"/>
          <w:szCs w:val="24"/>
        </w:rPr>
        <w:t>oranı</w:t>
      </w:r>
      <w:r w:rsidRPr="004B3EB9">
        <w:rPr>
          <w:rFonts w:ascii="Times New Roman" w:hAnsi="Times New Roman"/>
          <w:sz w:val="24"/>
          <w:szCs w:val="24"/>
        </w:rPr>
        <w:t xml:space="preserve">, bu </w:t>
      </w:r>
      <w:r w:rsidR="00594F00" w:rsidRPr="004B3EB9">
        <w:rPr>
          <w:rFonts w:ascii="Times New Roman" w:hAnsi="Times New Roman"/>
          <w:sz w:val="24"/>
          <w:szCs w:val="24"/>
        </w:rPr>
        <w:t>çalışmanın</w:t>
      </w:r>
      <w:r w:rsidRPr="004B3EB9">
        <w:rPr>
          <w:rFonts w:ascii="Times New Roman" w:hAnsi="Times New Roman"/>
          <w:sz w:val="24"/>
          <w:szCs w:val="24"/>
        </w:rPr>
        <w:t xml:space="preserve"> etkinlik konusundaki değerlendirilen primer parametresiydi. Doğrulanmış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9E236D" w:rsidRPr="004B3EB9">
        <w:rPr>
          <w:rFonts w:ascii="Times New Roman" w:hAnsi="Times New Roman"/>
          <w:sz w:val="24"/>
          <w:szCs w:val="24"/>
        </w:rPr>
        <w:t>hastaların</w:t>
      </w:r>
      <w:r w:rsidRPr="004B3EB9">
        <w:rPr>
          <w:rFonts w:ascii="Times New Roman" w:hAnsi="Times New Roman"/>
          <w:sz w:val="24"/>
          <w:szCs w:val="24"/>
        </w:rPr>
        <w:t xml:space="preserve"> % </w:t>
      </w:r>
      <w:proofErr w:type="gramStart"/>
      <w:r w:rsidRPr="004B3EB9">
        <w:rPr>
          <w:rFonts w:ascii="Times New Roman" w:hAnsi="Times New Roman"/>
          <w:sz w:val="24"/>
          <w:szCs w:val="24"/>
        </w:rPr>
        <w:t>71.5</w:t>
      </w:r>
      <w:r w:rsidR="00F54064">
        <w:rPr>
          <w:rFonts w:ascii="Times New Roman" w:hAnsi="Times New Roman"/>
          <w:sz w:val="24"/>
          <w:szCs w:val="24"/>
        </w:rPr>
        <w:t>’</w:t>
      </w:r>
      <w:r w:rsidRPr="004B3EB9">
        <w:rPr>
          <w:rFonts w:ascii="Times New Roman" w:hAnsi="Times New Roman"/>
          <w:sz w:val="24"/>
          <w:szCs w:val="24"/>
        </w:rPr>
        <w:t>inde</w:t>
      </w:r>
      <w:proofErr w:type="gramEnd"/>
      <w:r w:rsidRPr="004B3EB9">
        <w:rPr>
          <w:rFonts w:ascii="Times New Roman" w:hAnsi="Times New Roman"/>
          <w:sz w:val="24"/>
          <w:szCs w:val="24"/>
        </w:rPr>
        <w:t xml:space="preserve"> elde ed</w:t>
      </w:r>
      <w:r w:rsidR="00594F00" w:rsidRPr="004B3EB9">
        <w:rPr>
          <w:rFonts w:ascii="Times New Roman" w:hAnsi="Times New Roman"/>
          <w:sz w:val="24"/>
          <w:szCs w:val="24"/>
        </w:rPr>
        <w:t>il</w:t>
      </w:r>
      <w:r w:rsidRPr="004B3EB9">
        <w:rPr>
          <w:rFonts w:ascii="Times New Roman" w:hAnsi="Times New Roman"/>
          <w:sz w:val="24"/>
          <w:szCs w:val="24"/>
        </w:rPr>
        <w:t xml:space="preserve">di (Tablo 4). Bu hastalardan % </w:t>
      </w:r>
      <w:proofErr w:type="gramStart"/>
      <w:r w:rsidRPr="004B3EB9">
        <w:rPr>
          <w:rFonts w:ascii="Times New Roman" w:hAnsi="Times New Roman"/>
          <w:sz w:val="24"/>
          <w:szCs w:val="24"/>
        </w:rPr>
        <w:t>27.7</w:t>
      </w:r>
      <w:r w:rsidR="00F54064">
        <w:rPr>
          <w:rFonts w:ascii="Times New Roman" w:hAnsi="Times New Roman"/>
          <w:sz w:val="24"/>
          <w:szCs w:val="24"/>
        </w:rPr>
        <w:t>’</w:t>
      </w:r>
      <w:r w:rsidRPr="004B3EB9">
        <w:rPr>
          <w:rFonts w:ascii="Times New Roman" w:hAnsi="Times New Roman"/>
          <w:sz w:val="24"/>
          <w:szCs w:val="24"/>
        </w:rPr>
        <w:t>sinde</w:t>
      </w:r>
      <w:proofErr w:type="gramEnd"/>
      <w:r w:rsidRPr="004B3EB9">
        <w:rPr>
          <w:rFonts w:ascii="Times New Roman" w:hAnsi="Times New Roman"/>
          <w:sz w:val="24"/>
          <w:szCs w:val="24"/>
        </w:rPr>
        <w:t xml:space="preserve"> ayrıca majör sitogenetik </w:t>
      </w:r>
      <w:r w:rsidR="00594F00" w:rsidRPr="004B3EB9">
        <w:rPr>
          <w:rFonts w:ascii="Times New Roman" w:hAnsi="Times New Roman"/>
          <w:sz w:val="24"/>
          <w:szCs w:val="24"/>
        </w:rPr>
        <w:t>yanıt</w:t>
      </w:r>
      <w:r w:rsidRPr="004B3EB9">
        <w:rPr>
          <w:rFonts w:ascii="Times New Roman" w:hAnsi="Times New Roman"/>
          <w:sz w:val="24"/>
          <w:szCs w:val="24"/>
        </w:rPr>
        <w:t xml:space="preserve"> (% 20.4</w:t>
      </w:r>
      <w:r w:rsidR="00F54064">
        <w:rPr>
          <w:rFonts w:ascii="Times New Roman" w:hAnsi="Times New Roman"/>
          <w:sz w:val="24"/>
          <w:szCs w:val="24"/>
        </w:rPr>
        <w:t>’</w:t>
      </w:r>
      <w:r w:rsidRPr="004B3EB9">
        <w:rPr>
          <w:rFonts w:ascii="Times New Roman" w:hAnsi="Times New Roman"/>
          <w:sz w:val="24"/>
          <w:szCs w:val="24"/>
        </w:rPr>
        <w:t>ünde tam majör sitogenetik yanıt) a</w:t>
      </w:r>
      <w:r w:rsidR="00594F00" w:rsidRPr="004B3EB9">
        <w:rPr>
          <w:rFonts w:ascii="Times New Roman" w:hAnsi="Times New Roman"/>
          <w:sz w:val="24"/>
          <w:szCs w:val="24"/>
        </w:rPr>
        <w:t>lı</w:t>
      </w:r>
      <w:r w:rsidRPr="004B3EB9">
        <w:rPr>
          <w:rFonts w:ascii="Times New Roman" w:hAnsi="Times New Roman"/>
          <w:sz w:val="24"/>
          <w:szCs w:val="24"/>
        </w:rPr>
        <w:t>nmış olması önem</w:t>
      </w:r>
      <w:r w:rsidR="00594F00" w:rsidRPr="004B3EB9">
        <w:rPr>
          <w:rFonts w:ascii="Times New Roman" w:hAnsi="Times New Roman"/>
          <w:sz w:val="24"/>
          <w:szCs w:val="24"/>
        </w:rPr>
        <w:t>li</w:t>
      </w:r>
      <w:r w:rsidRPr="004B3EB9">
        <w:rPr>
          <w:rFonts w:ascii="Times New Roman" w:hAnsi="Times New Roman"/>
          <w:sz w:val="24"/>
          <w:szCs w:val="24"/>
        </w:rPr>
        <w:t xml:space="preserve">dir. 600 mg </w:t>
      </w:r>
      <w:r w:rsidR="00594F00" w:rsidRPr="004B3EB9">
        <w:rPr>
          <w:rFonts w:ascii="Times New Roman" w:hAnsi="Times New Roman"/>
          <w:sz w:val="24"/>
          <w:szCs w:val="24"/>
        </w:rPr>
        <w:t>imatinib</w:t>
      </w:r>
      <w:r w:rsidRPr="004B3EB9">
        <w:rPr>
          <w:rFonts w:ascii="Times New Roman" w:hAnsi="Times New Roman"/>
          <w:sz w:val="24"/>
          <w:szCs w:val="24"/>
        </w:rPr>
        <w:t xml:space="preserve"> kullanan hastalarda bugünkü saptamalara göre tahmini medyan hasta</w:t>
      </w:r>
      <w:r w:rsidR="00594F00" w:rsidRPr="004B3EB9">
        <w:rPr>
          <w:rFonts w:ascii="Times New Roman" w:hAnsi="Times New Roman"/>
          <w:sz w:val="24"/>
          <w:szCs w:val="24"/>
        </w:rPr>
        <w:t>lı</w:t>
      </w:r>
      <w:r w:rsidRPr="004B3EB9">
        <w:rPr>
          <w:rFonts w:ascii="Times New Roman" w:hAnsi="Times New Roman"/>
          <w:sz w:val="24"/>
          <w:szCs w:val="24"/>
        </w:rPr>
        <w:t>ksız sağka</w:t>
      </w:r>
      <w:r w:rsidR="00594F00" w:rsidRPr="004B3EB9">
        <w:rPr>
          <w:rFonts w:ascii="Times New Roman" w:hAnsi="Times New Roman"/>
          <w:sz w:val="24"/>
          <w:szCs w:val="24"/>
        </w:rPr>
        <w:t>lı</w:t>
      </w:r>
      <w:r w:rsidRPr="004B3EB9">
        <w:rPr>
          <w:rFonts w:ascii="Times New Roman" w:hAnsi="Times New Roman"/>
          <w:sz w:val="24"/>
          <w:szCs w:val="24"/>
        </w:rPr>
        <w:t>m ve genel sağka</w:t>
      </w:r>
      <w:r w:rsidR="00594F00" w:rsidRPr="004B3EB9">
        <w:rPr>
          <w:rFonts w:ascii="Times New Roman" w:hAnsi="Times New Roman"/>
          <w:sz w:val="24"/>
          <w:szCs w:val="24"/>
        </w:rPr>
        <w:t>lı</w:t>
      </w:r>
      <w:r w:rsidRPr="004B3EB9">
        <w:rPr>
          <w:rFonts w:ascii="Times New Roman" w:hAnsi="Times New Roman"/>
          <w:sz w:val="24"/>
          <w:szCs w:val="24"/>
        </w:rPr>
        <w:t xml:space="preserve">m </w:t>
      </w:r>
      <w:r w:rsidR="00791617" w:rsidRPr="004B3EB9">
        <w:rPr>
          <w:rFonts w:ascii="Times New Roman" w:hAnsi="Times New Roman"/>
          <w:sz w:val="24"/>
          <w:szCs w:val="24"/>
        </w:rPr>
        <w:t>oranları</w:t>
      </w:r>
      <w:r w:rsidRPr="004B3EB9">
        <w:rPr>
          <w:rFonts w:ascii="Times New Roman" w:hAnsi="Times New Roman"/>
          <w:sz w:val="24"/>
          <w:szCs w:val="24"/>
        </w:rPr>
        <w:t xml:space="preserve">, sırasıyla </w:t>
      </w:r>
      <w:proofErr w:type="gramStart"/>
      <w:r w:rsidRPr="004B3EB9">
        <w:rPr>
          <w:rFonts w:ascii="Times New Roman" w:hAnsi="Times New Roman"/>
          <w:sz w:val="24"/>
          <w:szCs w:val="24"/>
        </w:rPr>
        <w:t>22.9</w:t>
      </w:r>
      <w:proofErr w:type="gramEnd"/>
      <w:r w:rsidRPr="004B3EB9">
        <w:rPr>
          <w:rFonts w:ascii="Times New Roman" w:hAnsi="Times New Roman"/>
          <w:sz w:val="24"/>
          <w:szCs w:val="24"/>
        </w:rPr>
        <w:t xml:space="preserve"> ay ve 42.5 ay olarak hesaplandı.</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i/>
          <w:iCs/>
          <w:sz w:val="24"/>
          <w:szCs w:val="24"/>
        </w:rPr>
        <w:t xml:space="preserve">Miyeloid blast krizi: </w:t>
      </w:r>
      <w:r w:rsidRPr="004B3EB9">
        <w:rPr>
          <w:rFonts w:ascii="Times New Roman" w:hAnsi="Times New Roman"/>
          <w:sz w:val="24"/>
          <w:szCs w:val="24"/>
        </w:rPr>
        <w:t xml:space="preserve">Bu </w:t>
      </w:r>
      <w:r w:rsidR="00594F00" w:rsidRPr="004B3EB9">
        <w:rPr>
          <w:rFonts w:ascii="Times New Roman" w:hAnsi="Times New Roman"/>
          <w:sz w:val="24"/>
          <w:szCs w:val="24"/>
        </w:rPr>
        <w:t>çalışma</w:t>
      </w:r>
      <w:r w:rsidRPr="004B3EB9">
        <w:rPr>
          <w:rFonts w:ascii="Times New Roman" w:hAnsi="Times New Roman"/>
          <w:sz w:val="24"/>
          <w:szCs w:val="24"/>
        </w:rPr>
        <w:t>, blast krizi ge</w:t>
      </w:r>
      <w:r w:rsidR="00594F00" w:rsidRPr="004B3EB9">
        <w:rPr>
          <w:rFonts w:ascii="Times New Roman" w:hAnsi="Times New Roman"/>
          <w:sz w:val="24"/>
          <w:szCs w:val="24"/>
        </w:rPr>
        <w:t>li</w:t>
      </w:r>
      <w:r w:rsidRPr="004B3EB9">
        <w:rPr>
          <w:rFonts w:ascii="Times New Roman" w:hAnsi="Times New Roman"/>
          <w:sz w:val="24"/>
          <w:szCs w:val="24"/>
        </w:rPr>
        <w:t xml:space="preserve">şmiş olan 260 hasta üzerinde yapıldı. Bu </w:t>
      </w:r>
      <w:r w:rsidR="009E236D" w:rsidRPr="004B3EB9">
        <w:rPr>
          <w:rFonts w:ascii="Times New Roman" w:hAnsi="Times New Roman"/>
          <w:sz w:val="24"/>
          <w:szCs w:val="24"/>
        </w:rPr>
        <w:t>hastaların</w:t>
      </w:r>
      <w:r w:rsidRPr="004B3EB9">
        <w:rPr>
          <w:rFonts w:ascii="Times New Roman" w:hAnsi="Times New Roman"/>
          <w:sz w:val="24"/>
          <w:szCs w:val="24"/>
        </w:rPr>
        <w:t xml:space="preserve"> 95</w:t>
      </w:r>
      <w:r w:rsidR="00F54064">
        <w:rPr>
          <w:rFonts w:ascii="Times New Roman" w:hAnsi="Times New Roman"/>
          <w:sz w:val="24"/>
          <w:szCs w:val="24"/>
        </w:rPr>
        <w:t>’</w:t>
      </w:r>
      <w:r w:rsidRPr="004B3EB9">
        <w:rPr>
          <w:rFonts w:ascii="Times New Roman" w:hAnsi="Times New Roman"/>
          <w:sz w:val="24"/>
          <w:szCs w:val="24"/>
        </w:rPr>
        <w:t>i (%37</w:t>
      </w:r>
      <w:r w:rsidR="00F54064">
        <w:rPr>
          <w:rFonts w:ascii="Times New Roman" w:hAnsi="Times New Roman"/>
          <w:sz w:val="24"/>
          <w:szCs w:val="24"/>
        </w:rPr>
        <w:t>’</w:t>
      </w:r>
      <w:r w:rsidRPr="004B3EB9">
        <w:rPr>
          <w:rFonts w:ascii="Times New Roman" w:hAnsi="Times New Roman"/>
          <w:sz w:val="24"/>
          <w:szCs w:val="24"/>
        </w:rPr>
        <w:t xml:space="preserve">si), hızlanmış faz veya yine blast krizi nedeniyle daha önce de </w:t>
      </w:r>
      <w:proofErr w:type="gramStart"/>
      <w:r w:rsidRPr="004B3EB9">
        <w:rPr>
          <w:rFonts w:ascii="Times New Roman" w:hAnsi="Times New Roman"/>
          <w:sz w:val="24"/>
          <w:szCs w:val="24"/>
        </w:rPr>
        <w:t>kemoterapi</w:t>
      </w:r>
      <w:proofErr w:type="gramEnd"/>
      <w:r w:rsidRPr="004B3EB9">
        <w:rPr>
          <w:rFonts w:ascii="Times New Roman" w:hAnsi="Times New Roman"/>
          <w:sz w:val="24"/>
          <w:szCs w:val="24"/>
        </w:rPr>
        <w:t xml:space="preserve"> görmüştü (</w:t>
      </w:r>
      <w:r w:rsidR="00025C6E">
        <w:rPr>
          <w:rFonts w:ascii="Times New Roman" w:hAnsi="Times New Roman"/>
          <w:sz w:val="24"/>
          <w:szCs w:val="24"/>
        </w:rPr>
        <w:t>“</w:t>
      </w:r>
      <w:r w:rsidRPr="004B3EB9">
        <w:rPr>
          <w:rFonts w:ascii="Times New Roman" w:hAnsi="Times New Roman"/>
          <w:sz w:val="24"/>
          <w:szCs w:val="24"/>
        </w:rPr>
        <w:t>önceden tedavi edilmiş olan hastalar</w:t>
      </w:r>
      <w:r w:rsidR="00025C6E">
        <w:rPr>
          <w:rFonts w:ascii="Times New Roman" w:hAnsi="Times New Roman"/>
          <w:sz w:val="24"/>
          <w:szCs w:val="24"/>
        </w:rPr>
        <w:t>”</w:t>
      </w:r>
      <w:r w:rsidRPr="004B3EB9">
        <w:rPr>
          <w:rFonts w:ascii="Times New Roman" w:hAnsi="Times New Roman"/>
          <w:sz w:val="24"/>
          <w:szCs w:val="24"/>
        </w:rPr>
        <w:t>), 165 (%63) hastada ise daha önce kemoterapi uygulanmamıştı (</w:t>
      </w:r>
      <w:r w:rsidR="00025C6E">
        <w:rPr>
          <w:rFonts w:ascii="Times New Roman" w:hAnsi="Times New Roman"/>
          <w:sz w:val="24"/>
          <w:szCs w:val="24"/>
        </w:rPr>
        <w:t>“</w:t>
      </w:r>
      <w:r w:rsidRPr="004B3EB9">
        <w:rPr>
          <w:rFonts w:ascii="Times New Roman" w:hAnsi="Times New Roman"/>
          <w:sz w:val="24"/>
          <w:szCs w:val="24"/>
        </w:rPr>
        <w:t>önceden tedavi edilmemiş olan hastalar</w:t>
      </w:r>
      <w:r w:rsidR="00025C6E">
        <w:rPr>
          <w:rFonts w:ascii="Times New Roman" w:hAnsi="Times New Roman"/>
          <w:sz w:val="24"/>
          <w:szCs w:val="24"/>
        </w:rPr>
        <w:t>”</w:t>
      </w:r>
      <w:r w:rsidRPr="004B3EB9">
        <w:rPr>
          <w:rFonts w:ascii="Times New Roman" w:hAnsi="Times New Roman"/>
          <w:sz w:val="24"/>
          <w:szCs w:val="24"/>
        </w:rPr>
        <w:t>). Başlangıç dozu, ilk 37 hastada 400 mi</w:t>
      </w:r>
      <w:r w:rsidR="00594F00" w:rsidRPr="004B3EB9">
        <w:rPr>
          <w:rFonts w:ascii="Times New Roman" w:hAnsi="Times New Roman"/>
          <w:sz w:val="24"/>
          <w:szCs w:val="24"/>
        </w:rPr>
        <w:t>li</w:t>
      </w:r>
      <w:r w:rsidRPr="004B3EB9">
        <w:rPr>
          <w:rFonts w:ascii="Times New Roman" w:hAnsi="Times New Roman"/>
          <w:sz w:val="24"/>
          <w:szCs w:val="24"/>
        </w:rPr>
        <w:t xml:space="preserve">gramdı; daha sonra yapılan protokol tadilatı, daha yüksek dozların </w:t>
      </w:r>
      <w:r w:rsidR="00594F00" w:rsidRPr="004B3EB9">
        <w:rPr>
          <w:rFonts w:ascii="Times New Roman" w:hAnsi="Times New Roman"/>
          <w:sz w:val="24"/>
          <w:szCs w:val="24"/>
        </w:rPr>
        <w:t>kull</w:t>
      </w:r>
      <w:r w:rsidRPr="004B3EB9">
        <w:rPr>
          <w:rFonts w:ascii="Times New Roman" w:hAnsi="Times New Roman"/>
          <w:sz w:val="24"/>
          <w:szCs w:val="24"/>
        </w:rPr>
        <w:t>a</w:t>
      </w:r>
      <w:r w:rsidR="00594F00" w:rsidRPr="004B3EB9">
        <w:rPr>
          <w:rFonts w:ascii="Times New Roman" w:hAnsi="Times New Roman"/>
          <w:sz w:val="24"/>
          <w:szCs w:val="24"/>
        </w:rPr>
        <w:t>nı</w:t>
      </w:r>
      <w:r w:rsidRPr="004B3EB9">
        <w:rPr>
          <w:rFonts w:ascii="Times New Roman" w:hAnsi="Times New Roman"/>
          <w:sz w:val="24"/>
          <w:szCs w:val="24"/>
        </w:rPr>
        <w:t>lmas</w:t>
      </w:r>
      <w:r w:rsidR="00594F00" w:rsidRPr="004B3EB9">
        <w:rPr>
          <w:rFonts w:ascii="Times New Roman" w:hAnsi="Times New Roman"/>
          <w:sz w:val="24"/>
          <w:szCs w:val="24"/>
        </w:rPr>
        <w:t>ın</w:t>
      </w:r>
      <w:r w:rsidRPr="004B3EB9">
        <w:rPr>
          <w:rFonts w:ascii="Times New Roman" w:hAnsi="Times New Roman"/>
          <w:sz w:val="24"/>
          <w:szCs w:val="24"/>
        </w:rPr>
        <w:t xml:space="preserve">a olanak verdiğinden, diğer 223 hasta, başlangıçta 600 mg </w:t>
      </w:r>
      <w:r w:rsidR="00594F00" w:rsidRPr="004B3EB9">
        <w:rPr>
          <w:rFonts w:ascii="Times New Roman" w:hAnsi="Times New Roman"/>
          <w:sz w:val="24"/>
          <w:szCs w:val="24"/>
        </w:rPr>
        <w:t>imatinib</w:t>
      </w:r>
      <w:r w:rsidRPr="004B3EB9">
        <w:rPr>
          <w:rFonts w:ascii="Times New Roman" w:hAnsi="Times New Roman"/>
          <w:sz w:val="24"/>
          <w:szCs w:val="24"/>
        </w:rPr>
        <w:t xml:space="preserve"> kullandı.</w:t>
      </w:r>
    </w:p>
    <w:p w:rsidR="00683C9A"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Primer etkinlik parametresi, hızlanmış faz </w:t>
      </w:r>
      <w:r w:rsidR="00594F00" w:rsidRPr="004B3EB9">
        <w:rPr>
          <w:rFonts w:ascii="Times New Roman" w:hAnsi="Times New Roman"/>
          <w:sz w:val="24"/>
          <w:szCs w:val="24"/>
        </w:rPr>
        <w:t>çalışma</w:t>
      </w:r>
      <w:r w:rsidRPr="004B3EB9">
        <w:rPr>
          <w:rFonts w:ascii="Times New Roman" w:hAnsi="Times New Roman"/>
          <w:sz w:val="24"/>
          <w:szCs w:val="24"/>
        </w:rPr>
        <w:t xml:space="preserve">sında olduğu gibi yine tam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lösemi kanıtının mevcut olmaması veya kronik faza dönüş olarak tanımlanan,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4F3870" w:rsidRPr="004B3EB9">
        <w:rPr>
          <w:rFonts w:ascii="Times New Roman" w:hAnsi="Times New Roman"/>
          <w:sz w:val="24"/>
          <w:szCs w:val="24"/>
        </w:rPr>
        <w:t>oranı</w:t>
      </w:r>
      <w:r w:rsidRPr="004B3EB9">
        <w:rPr>
          <w:rFonts w:ascii="Times New Roman" w:hAnsi="Times New Roman"/>
          <w:sz w:val="24"/>
          <w:szCs w:val="24"/>
        </w:rPr>
        <w:t xml:space="preserve">ydı. </w:t>
      </w:r>
      <w:r w:rsidR="009E236D" w:rsidRPr="004B3EB9">
        <w:rPr>
          <w:rFonts w:ascii="Times New Roman" w:hAnsi="Times New Roman"/>
          <w:sz w:val="24"/>
          <w:szCs w:val="24"/>
        </w:rPr>
        <w:t>Hastaların</w:t>
      </w:r>
      <w:r w:rsidRPr="004B3EB9">
        <w:rPr>
          <w:rFonts w:ascii="Times New Roman" w:hAnsi="Times New Roman"/>
          <w:sz w:val="24"/>
          <w:szCs w:val="24"/>
        </w:rPr>
        <w:t xml:space="preserve"> %31</w:t>
      </w:r>
      <w:r w:rsidR="00F54064">
        <w:rPr>
          <w:rFonts w:ascii="Times New Roman" w:hAnsi="Times New Roman"/>
          <w:sz w:val="24"/>
          <w:szCs w:val="24"/>
        </w:rPr>
        <w:t>’</w:t>
      </w:r>
      <w:r w:rsidR="00594F00" w:rsidRPr="004B3EB9">
        <w:rPr>
          <w:rFonts w:ascii="Times New Roman" w:hAnsi="Times New Roman"/>
          <w:sz w:val="24"/>
          <w:szCs w:val="24"/>
        </w:rPr>
        <w:t>inde hematolojik yanıt elde edil</w:t>
      </w:r>
      <w:r w:rsidRPr="004B3EB9">
        <w:rPr>
          <w:rFonts w:ascii="Times New Roman" w:hAnsi="Times New Roman"/>
          <w:sz w:val="24"/>
          <w:szCs w:val="24"/>
        </w:rPr>
        <w:t>di. 600</w:t>
      </w:r>
      <w:r w:rsidR="005D6F71">
        <w:rPr>
          <w:rFonts w:ascii="Times New Roman" w:hAnsi="Times New Roman"/>
          <w:sz w:val="24"/>
          <w:szCs w:val="24"/>
        </w:rPr>
        <w:t xml:space="preserve"> </w:t>
      </w:r>
      <w:r w:rsidRPr="004B3EB9">
        <w:rPr>
          <w:rFonts w:ascii="Times New Roman" w:hAnsi="Times New Roman"/>
          <w:sz w:val="24"/>
          <w:szCs w:val="24"/>
        </w:rPr>
        <w:t xml:space="preserve">mg </w:t>
      </w:r>
      <w:r w:rsidR="00C60B90" w:rsidRPr="004B3EB9">
        <w:rPr>
          <w:rFonts w:ascii="Times New Roman" w:hAnsi="Times New Roman"/>
          <w:sz w:val="24"/>
          <w:szCs w:val="24"/>
        </w:rPr>
        <w:t>imatinib</w:t>
      </w:r>
      <w:r w:rsidRPr="004B3EB9">
        <w:rPr>
          <w:rFonts w:ascii="Times New Roman" w:hAnsi="Times New Roman"/>
          <w:sz w:val="24"/>
          <w:szCs w:val="24"/>
        </w:rPr>
        <w:t xml:space="preserve"> kullanan hastalardaki hematolojik yanıt </w:t>
      </w:r>
      <w:r w:rsidR="004F3870" w:rsidRPr="004B3EB9">
        <w:rPr>
          <w:rFonts w:ascii="Times New Roman" w:hAnsi="Times New Roman"/>
          <w:sz w:val="24"/>
          <w:szCs w:val="24"/>
        </w:rPr>
        <w:t>oranı</w:t>
      </w:r>
      <w:r w:rsidRPr="004B3EB9">
        <w:rPr>
          <w:rFonts w:ascii="Times New Roman" w:hAnsi="Times New Roman"/>
          <w:sz w:val="24"/>
          <w:szCs w:val="24"/>
        </w:rPr>
        <w:t xml:space="preserve">, 400 mg </w:t>
      </w:r>
      <w:r w:rsidR="00C60B90" w:rsidRPr="004B3EB9">
        <w:rPr>
          <w:rFonts w:ascii="Times New Roman" w:hAnsi="Times New Roman"/>
          <w:sz w:val="24"/>
          <w:szCs w:val="24"/>
        </w:rPr>
        <w:t>imatinib</w:t>
      </w:r>
      <w:r w:rsidRPr="004B3EB9">
        <w:rPr>
          <w:rFonts w:ascii="Times New Roman" w:hAnsi="Times New Roman"/>
          <w:sz w:val="24"/>
          <w:szCs w:val="24"/>
        </w:rPr>
        <w:t xml:space="preserve"> kullanmış olanlara kıyasla daha yüksekti (%16</w:t>
      </w:r>
      <w:r w:rsidR="00F54064">
        <w:rPr>
          <w:rFonts w:ascii="Times New Roman" w:hAnsi="Times New Roman"/>
          <w:sz w:val="24"/>
          <w:szCs w:val="24"/>
        </w:rPr>
        <w:t>’</w:t>
      </w:r>
      <w:r w:rsidRPr="004B3EB9">
        <w:rPr>
          <w:rFonts w:ascii="Times New Roman" w:hAnsi="Times New Roman"/>
          <w:sz w:val="24"/>
          <w:szCs w:val="24"/>
        </w:rPr>
        <w:t>ya karşılık %33, p=</w:t>
      </w:r>
      <w:proofErr w:type="gramStart"/>
      <w:r w:rsidRPr="004B3EB9">
        <w:rPr>
          <w:rFonts w:ascii="Times New Roman" w:hAnsi="Times New Roman"/>
          <w:sz w:val="24"/>
          <w:szCs w:val="24"/>
        </w:rPr>
        <w:t>0.0220</w:t>
      </w:r>
      <w:proofErr w:type="gramEnd"/>
      <w:r w:rsidRPr="004B3EB9">
        <w:rPr>
          <w:rFonts w:ascii="Times New Roman" w:hAnsi="Times New Roman"/>
          <w:sz w:val="24"/>
          <w:szCs w:val="24"/>
        </w:rPr>
        <w:t xml:space="preserve">). Daha önceden tedavi edilmemiş ve tedavi edilmiş </w:t>
      </w:r>
      <w:r w:rsidR="009E236D" w:rsidRPr="004B3EB9">
        <w:rPr>
          <w:rFonts w:ascii="Times New Roman" w:hAnsi="Times New Roman"/>
          <w:sz w:val="24"/>
          <w:szCs w:val="24"/>
        </w:rPr>
        <w:t>hastaların</w:t>
      </w:r>
      <w:r w:rsidRPr="004B3EB9">
        <w:rPr>
          <w:rFonts w:ascii="Times New Roman" w:hAnsi="Times New Roman"/>
          <w:sz w:val="24"/>
          <w:szCs w:val="24"/>
        </w:rPr>
        <w:t xml:space="preserve"> mevcut tahmini ortalama sağka</w:t>
      </w:r>
      <w:r w:rsidR="00C60B90" w:rsidRPr="004B3EB9">
        <w:rPr>
          <w:rFonts w:ascii="Times New Roman" w:hAnsi="Times New Roman"/>
          <w:sz w:val="24"/>
          <w:szCs w:val="24"/>
        </w:rPr>
        <w:t>lı</w:t>
      </w:r>
      <w:r w:rsidRPr="004B3EB9">
        <w:rPr>
          <w:rFonts w:ascii="Times New Roman" w:hAnsi="Times New Roman"/>
          <w:sz w:val="24"/>
          <w:szCs w:val="24"/>
        </w:rPr>
        <w:t xml:space="preserve">mı sırasıyla </w:t>
      </w:r>
      <w:proofErr w:type="gramStart"/>
      <w:r w:rsidRPr="004B3EB9">
        <w:rPr>
          <w:rFonts w:ascii="Times New Roman" w:hAnsi="Times New Roman"/>
          <w:sz w:val="24"/>
          <w:szCs w:val="24"/>
        </w:rPr>
        <w:t>7.7</w:t>
      </w:r>
      <w:proofErr w:type="gramEnd"/>
      <w:r w:rsidRPr="004B3EB9">
        <w:rPr>
          <w:rFonts w:ascii="Times New Roman" w:hAnsi="Times New Roman"/>
          <w:sz w:val="24"/>
          <w:szCs w:val="24"/>
        </w:rPr>
        <w:t xml:space="preserve"> ve 4.7 aydır.</w:t>
      </w:r>
    </w:p>
    <w:p w:rsidR="00F36470" w:rsidRDefault="00F36470" w:rsidP="00C86B5D">
      <w:pPr>
        <w:spacing w:after="0"/>
        <w:jc w:val="both"/>
        <w:rPr>
          <w:rFonts w:ascii="Times New Roman" w:hAnsi="Times New Roman"/>
          <w:sz w:val="24"/>
          <w:szCs w:val="24"/>
        </w:rPr>
      </w:pPr>
    </w:p>
    <w:p w:rsidR="0006573B" w:rsidRPr="004B3EB9" w:rsidRDefault="0006573B" w:rsidP="00C86B5D">
      <w:pPr>
        <w:spacing w:after="0"/>
        <w:jc w:val="both"/>
        <w:rPr>
          <w:rFonts w:ascii="Times New Roman" w:hAnsi="Times New Roman"/>
          <w:sz w:val="24"/>
          <w:szCs w:val="24"/>
        </w:rPr>
      </w:pPr>
    </w:p>
    <w:p w:rsidR="007A00F5" w:rsidRPr="004B3EB9" w:rsidRDefault="007A00F5" w:rsidP="00C86B5D">
      <w:pPr>
        <w:spacing w:after="0"/>
        <w:rPr>
          <w:rFonts w:ascii="Times New Roman" w:hAnsi="Times New Roman"/>
          <w:b/>
          <w:bCs/>
          <w:sz w:val="20"/>
          <w:szCs w:val="20"/>
          <w:lang w:val="en-US"/>
        </w:rPr>
      </w:pPr>
      <w:r w:rsidRPr="004B3EB9">
        <w:rPr>
          <w:rFonts w:ascii="Times New Roman" w:hAnsi="Times New Roman"/>
          <w:b/>
          <w:bCs/>
          <w:sz w:val="20"/>
          <w:szCs w:val="20"/>
          <w:lang w:val="en-US"/>
        </w:rPr>
        <w:t>Tablo 4            KML vakalarında elde edilen yanıtlar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157"/>
        <w:gridCol w:w="2410"/>
      </w:tblGrid>
      <w:tr w:rsidR="007A00F5" w:rsidRPr="004B3EB9" w:rsidTr="00E90759">
        <w:tc>
          <w:tcPr>
            <w:tcW w:w="2943" w:type="dxa"/>
            <w:tcBorders>
              <w:left w:val="nil"/>
              <w:bottom w:val="single" w:sz="4" w:space="0" w:color="000000"/>
              <w:right w:val="nil"/>
            </w:tcBorders>
          </w:tcPr>
          <w:p w:rsidR="007A00F5" w:rsidRPr="004B3EB9" w:rsidRDefault="007A00F5" w:rsidP="00C86B5D">
            <w:pPr>
              <w:spacing w:after="0"/>
              <w:jc w:val="both"/>
              <w:rPr>
                <w:rFonts w:ascii="Times New Roman" w:hAnsi="Times New Roman"/>
                <w:sz w:val="20"/>
                <w:szCs w:val="20"/>
              </w:rPr>
            </w:pPr>
          </w:p>
        </w:tc>
        <w:tc>
          <w:tcPr>
            <w:tcW w:w="2127" w:type="dxa"/>
            <w:tcBorders>
              <w:left w:val="nil"/>
              <w:bottom w:val="single" w:sz="4" w:space="0" w:color="000000"/>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Çalışma 0110</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37 aylık veri</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Kronik faz</w:t>
            </w:r>
            <w:r w:rsidR="007D2E0F">
              <w:rPr>
                <w:rFonts w:ascii="Times New Roman" w:hAnsi="Times New Roman"/>
                <w:sz w:val="20"/>
                <w:szCs w:val="20"/>
              </w:rPr>
              <w:t>,</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IFN başarısızlığı</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(n=532)</w:t>
            </w:r>
          </w:p>
        </w:tc>
        <w:tc>
          <w:tcPr>
            <w:tcW w:w="2157" w:type="dxa"/>
            <w:tcBorders>
              <w:left w:val="nil"/>
              <w:bottom w:val="single" w:sz="4" w:space="0" w:color="000000"/>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Çalışma 0109</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40.5 aylık veri</w:t>
            </w:r>
          </w:p>
          <w:p w:rsidR="007A00F5" w:rsidRPr="004B3EB9" w:rsidRDefault="007D2E0F" w:rsidP="00C86B5D">
            <w:pPr>
              <w:spacing w:after="0"/>
              <w:jc w:val="both"/>
              <w:rPr>
                <w:rFonts w:ascii="Times New Roman" w:hAnsi="Times New Roman"/>
                <w:sz w:val="20"/>
                <w:szCs w:val="20"/>
              </w:rPr>
            </w:pPr>
            <w:r>
              <w:rPr>
                <w:rFonts w:ascii="Times New Roman" w:hAnsi="Times New Roman"/>
                <w:sz w:val="20"/>
                <w:szCs w:val="20"/>
              </w:rPr>
              <w:t>Hızlanmış</w:t>
            </w:r>
            <w:r w:rsidRPr="004B3EB9">
              <w:rPr>
                <w:rFonts w:ascii="Times New Roman" w:hAnsi="Times New Roman"/>
                <w:sz w:val="20"/>
                <w:szCs w:val="20"/>
              </w:rPr>
              <w:t xml:space="preserve"> </w:t>
            </w:r>
            <w:r w:rsidR="007A00F5" w:rsidRPr="004B3EB9">
              <w:rPr>
                <w:rFonts w:ascii="Times New Roman" w:hAnsi="Times New Roman"/>
                <w:sz w:val="20"/>
                <w:szCs w:val="20"/>
              </w:rPr>
              <w:t>faz</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 xml:space="preserve"> (n=235)</w:t>
            </w:r>
          </w:p>
        </w:tc>
        <w:tc>
          <w:tcPr>
            <w:tcW w:w="2410" w:type="dxa"/>
            <w:tcBorders>
              <w:left w:val="nil"/>
              <w:bottom w:val="single" w:sz="4" w:space="0" w:color="000000"/>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Çalışma 0102</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38 aylık veri</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Miyeloid blast krizi</w:t>
            </w:r>
          </w:p>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(n=260)</w:t>
            </w:r>
          </w:p>
        </w:tc>
      </w:tr>
      <w:tr w:rsidR="007A00F5" w:rsidRPr="004B3EB9" w:rsidTr="00E90759">
        <w:tc>
          <w:tcPr>
            <w:tcW w:w="2943" w:type="dxa"/>
            <w:tcBorders>
              <w:left w:val="nil"/>
              <w:bottom w:val="single" w:sz="4" w:space="0" w:color="000000"/>
              <w:right w:val="nil"/>
            </w:tcBorders>
          </w:tcPr>
          <w:p w:rsidR="007A00F5" w:rsidRPr="004B3EB9" w:rsidRDefault="007A00F5" w:rsidP="00C86B5D">
            <w:pPr>
              <w:spacing w:after="0"/>
              <w:jc w:val="both"/>
              <w:rPr>
                <w:rFonts w:ascii="Times New Roman" w:hAnsi="Times New Roman"/>
                <w:sz w:val="20"/>
                <w:szCs w:val="20"/>
              </w:rPr>
            </w:pPr>
          </w:p>
        </w:tc>
        <w:tc>
          <w:tcPr>
            <w:tcW w:w="6694" w:type="dxa"/>
            <w:gridSpan w:val="3"/>
            <w:tcBorders>
              <w:left w:val="nil"/>
              <w:bottom w:val="single" w:sz="4" w:space="0" w:color="000000"/>
              <w:right w:val="nil"/>
            </w:tcBorders>
          </w:tcPr>
          <w:p w:rsidR="007A00F5" w:rsidRPr="004B3EB9" w:rsidRDefault="007A00F5" w:rsidP="00C86B5D">
            <w:pPr>
              <w:spacing w:after="0"/>
              <w:jc w:val="center"/>
              <w:rPr>
                <w:rFonts w:ascii="Times New Roman" w:hAnsi="Times New Roman"/>
                <w:sz w:val="20"/>
                <w:szCs w:val="20"/>
              </w:rPr>
            </w:pPr>
            <w:r w:rsidRPr="004B3EB9">
              <w:rPr>
                <w:rFonts w:ascii="Times New Roman" w:hAnsi="Times New Roman"/>
                <w:sz w:val="20"/>
                <w:szCs w:val="20"/>
              </w:rPr>
              <w:t>Hastaların yüzdesi (%95 güven aralığı)</w:t>
            </w:r>
          </w:p>
        </w:tc>
      </w:tr>
      <w:tr w:rsidR="007A00F5" w:rsidRPr="004B3EB9" w:rsidTr="00E90759">
        <w:tc>
          <w:tcPr>
            <w:tcW w:w="2943" w:type="dxa"/>
            <w:tcBorders>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Hematolojik yanıt</w:t>
            </w:r>
            <w:r w:rsidRPr="004B3EB9">
              <w:rPr>
                <w:rFonts w:ascii="Times New Roman" w:hAnsi="Times New Roman"/>
                <w:sz w:val="20"/>
                <w:szCs w:val="20"/>
                <w:vertAlign w:val="superscript"/>
              </w:rPr>
              <w:t>1</w:t>
            </w:r>
          </w:p>
        </w:tc>
        <w:tc>
          <w:tcPr>
            <w:tcW w:w="2127" w:type="dxa"/>
            <w:tcBorders>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%95 (</w:t>
            </w:r>
            <w:proofErr w:type="gramStart"/>
            <w:r w:rsidRPr="004B3EB9">
              <w:rPr>
                <w:rFonts w:ascii="Times New Roman" w:hAnsi="Times New Roman"/>
                <w:sz w:val="20"/>
                <w:szCs w:val="20"/>
              </w:rPr>
              <w:t>92.3</w:t>
            </w:r>
            <w:proofErr w:type="gramEnd"/>
            <w:r w:rsidRPr="004B3EB9">
              <w:rPr>
                <w:rFonts w:ascii="Times New Roman" w:hAnsi="Times New Roman"/>
                <w:sz w:val="20"/>
                <w:szCs w:val="20"/>
              </w:rPr>
              <w:t xml:space="preserve">-96.3) </w:t>
            </w:r>
          </w:p>
        </w:tc>
        <w:tc>
          <w:tcPr>
            <w:tcW w:w="2157" w:type="dxa"/>
            <w:tcBorders>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%71 (</w:t>
            </w:r>
            <w:proofErr w:type="gramStart"/>
            <w:r w:rsidRPr="004B3EB9">
              <w:rPr>
                <w:rFonts w:ascii="Times New Roman" w:hAnsi="Times New Roman"/>
                <w:sz w:val="20"/>
                <w:szCs w:val="20"/>
              </w:rPr>
              <w:t>65.3</w:t>
            </w:r>
            <w:proofErr w:type="gramEnd"/>
            <w:r w:rsidRPr="004B3EB9">
              <w:rPr>
                <w:rFonts w:ascii="Times New Roman" w:hAnsi="Times New Roman"/>
                <w:sz w:val="20"/>
                <w:szCs w:val="20"/>
              </w:rPr>
              <w:t xml:space="preserve">-77.2) </w:t>
            </w:r>
          </w:p>
        </w:tc>
        <w:tc>
          <w:tcPr>
            <w:tcW w:w="2410" w:type="dxa"/>
            <w:tcBorders>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 31 (</w:t>
            </w:r>
            <w:proofErr w:type="gramStart"/>
            <w:r w:rsidRPr="004B3EB9">
              <w:rPr>
                <w:rFonts w:ascii="Times New Roman" w:hAnsi="Times New Roman"/>
                <w:sz w:val="20"/>
                <w:szCs w:val="20"/>
              </w:rPr>
              <w:t>25.2</w:t>
            </w:r>
            <w:proofErr w:type="gramEnd"/>
            <w:r w:rsidRPr="004B3EB9">
              <w:rPr>
                <w:rFonts w:ascii="Times New Roman" w:hAnsi="Times New Roman"/>
                <w:sz w:val="20"/>
                <w:szCs w:val="20"/>
              </w:rPr>
              <w:t>-36.8)</w:t>
            </w:r>
          </w:p>
        </w:tc>
      </w:tr>
      <w:tr w:rsidR="007A00F5" w:rsidRPr="004B3EB9" w:rsidTr="00E90759">
        <w:tc>
          <w:tcPr>
            <w:tcW w:w="2943" w:type="dxa"/>
            <w:tcBorders>
              <w:top w:val="nil"/>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Tam hematolojik yanıt (THY)</w:t>
            </w:r>
          </w:p>
        </w:tc>
        <w:tc>
          <w:tcPr>
            <w:tcW w:w="212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%9</w:t>
            </w:r>
            <w:r w:rsidR="00141666" w:rsidRPr="004B3EB9">
              <w:rPr>
                <w:rFonts w:ascii="Times New Roman" w:hAnsi="Times New Roman"/>
                <w:sz w:val="20"/>
                <w:szCs w:val="20"/>
              </w:rPr>
              <w:t>5</w:t>
            </w:r>
          </w:p>
        </w:tc>
        <w:tc>
          <w:tcPr>
            <w:tcW w:w="215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%42</w:t>
            </w:r>
          </w:p>
        </w:tc>
        <w:tc>
          <w:tcPr>
            <w:tcW w:w="2410"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%8</w:t>
            </w:r>
          </w:p>
        </w:tc>
      </w:tr>
      <w:tr w:rsidR="007A00F5" w:rsidRPr="004B3EB9" w:rsidTr="00E90759">
        <w:tc>
          <w:tcPr>
            <w:tcW w:w="2943" w:type="dxa"/>
            <w:tcBorders>
              <w:top w:val="nil"/>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 xml:space="preserve">Lösemi kanıtı yok (NEL) </w:t>
            </w:r>
          </w:p>
        </w:tc>
        <w:tc>
          <w:tcPr>
            <w:tcW w:w="212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w:t>
            </w:r>
          </w:p>
        </w:tc>
        <w:tc>
          <w:tcPr>
            <w:tcW w:w="215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%12</w:t>
            </w:r>
          </w:p>
        </w:tc>
        <w:tc>
          <w:tcPr>
            <w:tcW w:w="2410"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%5</w:t>
            </w:r>
          </w:p>
        </w:tc>
      </w:tr>
      <w:tr w:rsidR="007A00F5" w:rsidRPr="004B3EB9" w:rsidTr="00E90759">
        <w:trPr>
          <w:trHeight w:val="533"/>
        </w:trPr>
        <w:tc>
          <w:tcPr>
            <w:tcW w:w="2943" w:type="dxa"/>
            <w:tcBorders>
              <w:top w:val="nil"/>
              <w:left w:val="nil"/>
              <w:bottom w:val="nil"/>
              <w:right w:val="nil"/>
            </w:tcBorders>
          </w:tcPr>
          <w:p w:rsidR="007A00F5" w:rsidRPr="004B3EB9" w:rsidRDefault="007A00F5" w:rsidP="00C86B5D">
            <w:pPr>
              <w:spacing w:after="0"/>
              <w:jc w:val="both"/>
              <w:rPr>
                <w:rFonts w:ascii="Times New Roman" w:hAnsi="Times New Roman"/>
                <w:sz w:val="20"/>
                <w:szCs w:val="20"/>
              </w:rPr>
            </w:pPr>
            <w:r w:rsidRPr="004B3EB9">
              <w:rPr>
                <w:rFonts w:ascii="Times New Roman" w:hAnsi="Times New Roman"/>
                <w:sz w:val="20"/>
                <w:szCs w:val="20"/>
              </w:rPr>
              <w:t>Kronik faza dönüş (RTC)</w:t>
            </w:r>
          </w:p>
        </w:tc>
        <w:tc>
          <w:tcPr>
            <w:tcW w:w="212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w:t>
            </w:r>
          </w:p>
        </w:tc>
        <w:tc>
          <w:tcPr>
            <w:tcW w:w="215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%17</w:t>
            </w:r>
          </w:p>
        </w:tc>
        <w:tc>
          <w:tcPr>
            <w:tcW w:w="2410"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%18</w:t>
            </w:r>
          </w:p>
        </w:tc>
      </w:tr>
      <w:tr w:rsidR="007A00F5" w:rsidRPr="004B3EB9" w:rsidTr="00E90759">
        <w:tc>
          <w:tcPr>
            <w:tcW w:w="2943"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Major sitogenetik yanıt</w:t>
            </w:r>
            <w:r w:rsidRPr="004B3EB9">
              <w:rPr>
                <w:rFonts w:ascii="Times New Roman" w:hAnsi="Times New Roman"/>
                <w:sz w:val="20"/>
                <w:szCs w:val="20"/>
                <w:vertAlign w:val="superscript"/>
              </w:rPr>
              <w:t>2</w:t>
            </w:r>
          </w:p>
        </w:tc>
        <w:tc>
          <w:tcPr>
            <w:tcW w:w="212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%65 (</w:t>
            </w:r>
            <w:proofErr w:type="gramStart"/>
            <w:r w:rsidRPr="004B3EB9">
              <w:rPr>
                <w:rFonts w:ascii="Times New Roman" w:hAnsi="Times New Roman"/>
                <w:sz w:val="20"/>
                <w:szCs w:val="20"/>
              </w:rPr>
              <w:t>61.2</w:t>
            </w:r>
            <w:proofErr w:type="gramEnd"/>
            <w:r w:rsidRPr="004B3EB9">
              <w:rPr>
                <w:rFonts w:ascii="Times New Roman" w:hAnsi="Times New Roman"/>
                <w:sz w:val="20"/>
                <w:szCs w:val="20"/>
              </w:rPr>
              <w:t>-69.5)</w:t>
            </w:r>
          </w:p>
        </w:tc>
        <w:tc>
          <w:tcPr>
            <w:tcW w:w="215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%28 (</w:t>
            </w:r>
            <w:proofErr w:type="gramStart"/>
            <w:r w:rsidRPr="004B3EB9">
              <w:rPr>
                <w:rFonts w:ascii="Times New Roman" w:hAnsi="Times New Roman"/>
                <w:sz w:val="20"/>
                <w:szCs w:val="20"/>
              </w:rPr>
              <w:t>22.0</w:t>
            </w:r>
            <w:proofErr w:type="gramEnd"/>
            <w:r w:rsidRPr="004B3EB9">
              <w:rPr>
                <w:rFonts w:ascii="Times New Roman" w:hAnsi="Times New Roman"/>
                <w:sz w:val="20"/>
                <w:szCs w:val="20"/>
              </w:rPr>
              <w:t xml:space="preserve">-33.9) </w:t>
            </w:r>
          </w:p>
        </w:tc>
        <w:tc>
          <w:tcPr>
            <w:tcW w:w="2410"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%15 (</w:t>
            </w:r>
            <w:proofErr w:type="gramStart"/>
            <w:r w:rsidRPr="004B3EB9">
              <w:rPr>
                <w:rFonts w:ascii="Times New Roman" w:hAnsi="Times New Roman"/>
                <w:sz w:val="20"/>
                <w:szCs w:val="20"/>
              </w:rPr>
              <w:t>11.2</w:t>
            </w:r>
            <w:proofErr w:type="gramEnd"/>
            <w:r w:rsidRPr="004B3EB9">
              <w:rPr>
                <w:rFonts w:ascii="Times New Roman" w:hAnsi="Times New Roman"/>
                <w:sz w:val="20"/>
                <w:szCs w:val="20"/>
              </w:rPr>
              <w:t>-20.4)</w:t>
            </w:r>
          </w:p>
        </w:tc>
      </w:tr>
      <w:tr w:rsidR="007A00F5" w:rsidRPr="004B3EB9" w:rsidTr="00E90759">
        <w:tc>
          <w:tcPr>
            <w:tcW w:w="2943"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Tam</w:t>
            </w:r>
          </w:p>
        </w:tc>
        <w:tc>
          <w:tcPr>
            <w:tcW w:w="212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%53</w:t>
            </w:r>
          </w:p>
        </w:tc>
        <w:tc>
          <w:tcPr>
            <w:tcW w:w="2157"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%20</w:t>
            </w:r>
          </w:p>
        </w:tc>
        <w:tc>
          <w:tcPr>
            <w:tcW w:w="2410" w:type="dxa"/>
            <w:tcBorders>
              <w:top w:val="nil"/>
              <w:left w:val="nil"/>
              <w:bottom w:val="nil"/>
              <w:right w:val="nil"/>
            </w:tcBorders>
          </w:tcPr>
          <w:p w:rsidR="007A00F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%7</w:t>
            </w:r>
          </w:p>
        </w:tc>
      </w:tr>
      <w:tr w:rsidR="000D1D65" w:rsidRPr="004B3EB9" w:rsidTr="00E90759">
        <w:tc>
          <w:tcPr>
            <w:tcW w:w="2943" w:type="dxa"/>
            <w:tcBorders>
              <w:top w:val="nil"/>
              <w:left w:val="nil"/>
              <w:right w:val="nil"/>
            </w:tcBorders>
          </w:tcPr>
          <w:p w:rsidR="000D1D6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Kısmi</w:t>
            </w:r>
          </w:p>
        </w:tc>
        <w:tc>
          <w:tcPr>
            <w:tcW w:w="2127" w:type="dxa"/>
            <w:tcBorders>
              <w:top w:val="nil"/>
              <w:left w:val="nil"/>
              <w:right w:val="nil"/>
            </w:tcBorders>
          </w:tcPr>
          <w:p w:rsidR="000D1D6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%12</w:t>
            </w:r>
          </w:p>
        </w:tc>
        <w:tc>
          <w:tcPr>
            <w:tcW w:w="2157" w:type="dxa"/>
            <w:tcBorders>
              <w:top w:val="nil"/>
              <w:left w:val="nil"/>
              <w:right w:val="nil"/>
            </w:tcBorders>
          </w:tcPr>
          <w:p w:rsidR="000D1D6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%7</w:t>
            </w:r>
          </w:p>
        </w:tc>
        <w:tc>
          <w:tcPr>
            <w:tcW w:w="2410" w:type="dxa"/>
            <w:tcBorders>
              <w:top w:val="nil"/>
              <w:left w:val="nil"/>
              <w:right w:val="nil"/>
            </w:tcBorders>
          </w:tcPr>
          <w:p w:rsidR="000D1D65" w:rsidRPr="004B3EB9" w:rsidRDefault="000D1D65" w:rsidP="00C86B5D">
            <w:pPr>
              <w:spacing w:after="0"/>
              <w:jc w:val="both"/>
              <w:rPr>
                <w:rFonts w:ascii="Times New Roman" w:hAnsi="Times New Roman"/>
                <w:sz w:val="20"/>
                <w:szCs w:val="20"/>
              </w:rPr>
            </w:pPr>
            <w:r w:rsidRPr="004B3EB9">
              <w:rPr>
                <w:rFonts w:ascii="Times New Roman" w:hAnsi="Times New Roman"/>
                <w:sz w:val="20"/>
                <w:szCs w:val="20"/>
              </w:rPr>
              <w:t>%8</w:t>
            </w:r>
          </w:p>
        </w:tc>
      </w:tr>
    </w:tbl>
    <w:p w:rsidR="00396DF1" w:rsidRPr="004B3EB9" w:rsidRDefault="00015105" w:rsidP="00C86B5D">
      <w:pPr>
        <w:spacing w:after="0"/>
        <w:jc w:val="both"/>
        <w:rPr>
          <w:rFonts w:ascii="Times New Roman" w:hAnsi="Times New Roman"/>
          <w:sz w:val="20"/>
          <w:szCs w:val="20"/>
        </w:rPr>
      </w:pPr>
      <w:r w:rsidRPr="004B3EB9">
        <w:rPr>
          <w:rFonts w:ascii="Times New Roman" w:hAnsi="Times New Roman"/>
          <w:b/>
          <w:bCs/>
          <w:sz w:val="20"/>
          <w:szCs w:val="20"/>
          <w:vertAlign w:val="superscript"/>
        </w:rPr>
        <w:t>1</w:t>
      </w:r>
      <w:r w:rsidR="00396DF1" w:rsidRPr="004B3EB9">
        <w:rPr>
          <w:rFonts w:ascii="Times New Roman" w:hAnsi="Times New Roman"/>
          <w:b/>
          <w:bCs/>
          <w:sz w:val="20"/>
          <w:szCs w:val="20"/>
        </w:rPr>
        <w:t xml:space="preserve">Hematolojik </w:t>
      </w:r>
      <w:r w:rsidR="00594F00" w:rsidRPr="004B3EB9">
        <w:rPr>
          <w:rFonts w:ascii="Times New Roman" w:hAnsi="Times New Roman"/>
          <w:b/>
          <w:bCs/>
          <w:sz w:val="20"/>
          <w:szCs w:val="20"/>
        </w:rPr>
        <w:t>yanıt</w:t>
      </w:r>
      <w:r w:rsidR="00396DF1" w:rsidRPr="004B3EB9">
        <w:rPr>
          <w:rFonts w:ascii="Times New Roman" w:hAnsi="Times New Roman"/>
          <w:b/>
          <w:bCs/>
          <w:sz w:val="20"/>
          <w:szCs w:val="20"/>
        </w:rPr>
        <w:t xml:space="preserve"> </w:t>
      </w:r>
      <w:proofErr w:type="gramStart"/>
      <w:r w:rsidR="00396DF1" w:rsidRPr="004B3EB9">
        <w:rPr>
          <w:rFonts w:ascii="Times New Roman" w:hAnsi="Times New Roman"/>
          <w:b/>
          <w:bCs/>
          <w:sz w:val="20"/>
          <w:szCs w:val="20"/>
        </w:rPr>
        <w:t>kriterleri</w:t>
      </w:r>
      <w:proofErr w:type="gramEnd"/>
      <w:r w:rsidR="00396DF1" w:rsidRPr="004B3EB9">
        <w:rPr>
          <w:rFonts w:ascii="Times New Roman" w:hAnsi="Times New Roman"/>
          <w:b/>
          <w:bCs/>
          <w:sz w:val="20"/>
          <w:szCs w:val="20"/>
        </w:rPr>
        <w:t xml:space="preserve"> (</w:t>
      </w:r>
      <w:r w:rsidRPr="004B3EB9">
        <w:rPr>
          <w:rFonts w:ascii="Times New Roman" w:hAnsi="Times New Roman"/>
          <w:b/>
          <w:bCs/>
          <w:sz w:val="20"/>
          <w:szCs w:val="20"/>
        </w:rPr>
        <w:t>bütün</w:t>
      </w:r>
      <w:r w:rsidR="00396DF1" w:rsidRPr="004B3EB9">
        <w:rPr>
          <w:rFonts w:ascii="Times New Roman" w:hAnsi="Times New Roman"/>
          <w:b/>
          <w:bCs/>
          <w:sz w:val="20"/>
          <w:szCs w:val="20"/>
        </w:rPr>
        <w:t xml:space="preserve"> yanıtlar </w:t>
      </w:r>
      <w:r w:rsidR="00E52D27" w:rsidRPr="004B3EB9">
        <w:rPr>
          <w:rFonts w:ascii="Times New Roman" w:hAnsi="Times New Roman"/>
          <w:b/>
          <w:bCs/>
          <w:sz w:val="20"/>
          <w:szCs w:val="20"/>
        </w:rPr>
        <w:t>≥</w:t>
      </w:r>
      <w:r w:rsidR="00396DF1" w:rsidRPr="004B3EB9">
        <w:rPr>
          <w:rFonts w:ascii="Times New Roman" w:hAnsi="Times New Roman"/>
          <w:b/>
          <w:bCs/>
          <w:sz w:val="20"/>
          <w:szCs w:val="20"/>
        </w:rPr>
        <w:t xml:space="preserve">4 hafta sonra </w:t>
      </w:r>
      <w:r w:rsidRPr="004B3EB9">
        <w:rPr>
          <w:rFonts w:ascii="Times New Roman" w:hAnsi="Times New Roman"/>
          <w:b/>
          <w:bCs/>
          <w:sz w:val="20"/>
          <w:szCs w:val="20"/>
        </w:rPr>
        <w:t>doğrulanmış</w:t>
      </w:r>
      <w:r w:rsidR="00396DF1" w:rsidRPr="004B3EB9">
        <w:rPr>
          <w:rFonts w:ascii="Times New Roman" w:hAnsi="Times New Roman"/>
          <w:b/>
          <w:bCs/>
          <w:sz w:val="20"/>
          <w:szCs w:val="20"/>
        </w:rPr>
        <w:t xml:space="preserve"> olmalıdır):</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THY</w:t>
      </w:r>
      <w:r w:rsidR="000D1D65" w:rsidRPr="004B3EB9">
        <w:rPr>
          <w:rFonts w:ascii="Times New Roman" w:hAnsi="Times New Roman"/>
          <w:sz w:val="20"/>
          <w:szCs w:val="20"/>
        </w:rPr>
        <w:t>:</w:t>
      </w:r>
      <w:r w:rsidRPr="004B3EB9">
        <w:rPr>
          <w:rFonts w:ascii="Times New Roman" w:hAnsi="Times New Roman"/>
          <w:sz w:val="20"/>
          <w:szCs w:val="20"/>
        </w:rPr>
        <w:t xml:space="preserve"> ça</w:t>
      </w:r>
      <w:r w:rsidR="00015105" w:rsidRPr="004B3EB9">
        <w:rPr>
          <w:rFonts w:ascii="Times New Roman" w:hAnsi="Times New Roman"/>
          <w:sz w:val="20"/>
          <w:szCs w:val="20"/>
        </w:rPr>
        <w:t>lışma 0110 [kandaki WBC &lt;10 x10</w:t>
      </w:r>
      <w:r w:rsidR="00015105" w:rsidRPr="004B3EB9">
        <w:rPr>
          <w:rFonts w:ascii="Times New Roman" w:hAnsi="Times New Roman"/>
          <w:sz w:val="20"/>
          <w:szCs w:val="20"/>
          <w:vertAlign w:val="superscript"/>
        </w:rPr>
        <w:t>9</w:t>
      </w:r>
      <w:r w:rsidR="00015105" w:rsidRPr="004B3EB9">
        <w:rPr>
          <w:rFonts w:ascii="Times New Roman" w:hAnsi="Times New Roman"/>
          <w:sz w:val="20"/>
          <w:szCs w:val="20"/>
        </w:rPr>
        <w:t>/L, trombosit sayısı &lt;450x10</w:t>
      </w:r>
      <w:r w:rsidR="00015105" w:rsidRPr="004B3EB9">
        <w:rPr>
          <w:rFonts w:ascii="Times New Roman" w:hAnsi="Times New Roman"/>
          <w:sz w:val="20"/>
          <w:szCs w:val="20"/>
          <w:vertAlign w:val="superscript"/>
        </w:rPr>
        <w:t>9</w:t>
      </w:r>
      <w:r w:rsidR="00015105" w:rsidRPr="004B3EB9">
        <w:rPr>
          <w:rFonts w:ascii="Times New Roman" w:hAnsi="Times New Roman"/>
          <w:sz w:val="20"/>
          <w:szCs w:val="20"/>
        </w:rPr>
        <w:t>/l</w:t>
      </w:r>
      <w:r w:rsidRPr="004B3EB9">
        <w:rPr>
          <w:rFonts w:ascii="Times New Roman" w:hAnsi="Times New Roman"/>
          <w:sz w:val="20"/>
          <w:szCs w:val="20"/>
        </w:rPr>
        <w:t>, m</w:t>
      </w:r>
      <w:r w:rsidR="00015105" w:rsidRPr="004B3EB9">
        <w:rPr>
          <w:rFonts w:ascii="Times New Roman" w:hAnsi="Times New Roman"/>
          <w:sz w:val="20"/>
          <w:szCs w:val="20"/>
        </w:rPr>
        <w:t>iyelosit + metamiyelosi</w:t>
      </w:r>
      <w:r w:rsidRPr="004B3EB9">
        <w:rPr>
          <w:rFonts w:ascii="Times New Roman" w:hAnsi="Times New Roman"/>
          <w:sz w:val="20"/>
          <w:szCs w:val="20"/>
        </w:rPr>
        <w:t>t &lt;5% , kanda blast veya</w:t>
      </w:r>
      <w:r w:rsidR="00015105" w:rsidRPr="004B3EB9">
        <w:rPr>
          <w:rFonts w:ascii="Times New Roman" w:hAnsi="Times New Roman"/>
          <w:sz w:val="20"/>
          <w:szCs w:val="20"/>
        </w:rPr>
        <w:t xml:space="preserve"> </w:t>
      </w:r>
      <w:r w:rsidRPr="004B3EB9">
        <w:rPr>
          <w:rFonts w:ascii="Times New Roman" w:hAnsi="Times New Roman"/>
          <w:sz w:val="20"/>
          <w:szCs w:val="20"/>
        </w:rPr>
        <w:t>prom</w:t>
      </w:r>
      <w:r w:rsidR="00015105" w:rsidRPr="004B3EB9">
        <w:rPr>
          <w:rFonts w:ascii="Times New Roman" w:hAnsi="Times New Roman"/>
          <w:sz w:val="20"/>
          <w:szCs w:val="20"/>
        </w:rPr>
        <w:t>i</w:t>
      </w:r>
      <w:r w:rsidRPr="004B3EB9">
        <w:rPr>
          <w:rFonts w:ascii="Times New Roman" w:hAnsi="Times New Roman"/>
          <w:sz w:val="20"/>
          <w:szCs w:val="20"/>
        </w:rPr>
        <w:t>yelos</w:t>
      </w:r>
      <w:r w:rsidR="00015105" w:rsidRPr="004B3EB9">
        <w:rPr>
          <w:rFonts w:ascii="Times New Roman" w:hAnsi="Times New Roman"/>
          <w:sz w:val="20"/>
          <w:szCs w:val="20"/>
        </w:rPr>
        <w:t>i</w:t>
      </w:r>
      <w:r w:rsidRPr="004B3EB9">
        <w:rPr>
          <w:rFonts w:ascii="Times New Roman" w:hAnsi="Times New Roman"/>
          <w:sz w:val="20"/>
          <w:szCs w:val="20"/>
        </w:rPr>
        <w:t xml:space="preserve">t yok, bazofiller &lt; %20, kemik </w:t>
      </w:r>
      <w:r w:rsidR="00015105" w:rsidRPr="004B3EB9">
        <w:rPr>
          <w:rFonts w:ascii="Times New Roman" w:hAnsi="Times New Roman"/>
          <w:sz w:val="20"/>
          <w:szCs w:val="20"/>
        </w:rPr>
        <w:t>iliği</w:t>
      </w:r>
      <w:r w:rsidRPr="004B3EB9">
        <w:rPr>
          <w:rFonts w:ascii="Times New Roman" w:hAnsi="Times New Roman"/>
          <w:sz w:val="20"/>
          <w:szCs w:val="20"/>
        </w:rPr>
        <w:t xml:space="preserve"> dışında hastalık yok] ve ça</w:t>
      </w:r>
      <w:r w:rsidR="00015105" w:rsidRPr="004B3EB9">
        <w:rPr>
          <w:rFonts w:ascii="Times New Roman" w:hAnsi="Times New Roman"/>
          <w:sz w:val="20"/>
          <w:szCs w:val="20"/>
        </w:rPr>
        <w:t>lı</w:t>
      </w:r>
      <w:r w:rsidRPr="004B3EB9">
        <w:rPr>
          <w:rFonts w:ascii="Times New Roman" w:hAnsi="Times New Roman"/>
          <w:sz w:val="20"/>
          <w:szCs w:val="20"/>
        </w:rPr>
        <w:t>şma 0102 ve 0109 [ANC</w:t>
      </w:r>
      <w:r w:rsidR="00E52D27" w:rsidRPr="004B3EB9">
        <w:rPr>
          <w:rFonts w:ascii="Times New Roman" w:hAnsi="Times New Roman"/>
          <w:sz w:val="20"/>
          <w:szCs w:val="20"/>
        </w:rPr>
        <w:t>≥</w:t>
      </w:r>
      <w:proofErr w:type="gramStart"/>
      <w:r w:rsidR="00E52D27" w:rsidRPr="004B3EB9">
        <w:rPr>
          <w:rFonts w:ascii="Times New Roman" w:hAnsi="Times New Roman"/>
          <w:sz w:val="20"/>
          <w:szCs w:val="20"/>
        </w:rPr>
        <w:t>1.</w:t>
      </w:r>
      <w:r w:rsidRPr="004B3EB9">
        <w:rPr>
          <w:rFonts w:ascii="Times New Roman" w:hAnsi="Times New Roman"/>
          <w:sz w:val="20"/>
          <w:szCs w:val="20"/>
        </w:rPr>
        <w:t>5</w:t>
      </w:r>
      <w:proofErr w:type="gramEnd"/>
      <w:r w:rsidRPr="004B3EB9">
        <w:rPr>
          <w:rFonts w:ascii="Times New Roman" w:hAnsi="Times New Roman"/>
          <w:sz w:val="20"/>
          <w:szCs w:val="20"/>
        </w:rPr>
        <w:t xml:space="preserve"> xl0</w:t>
      </w:r>
      <w:r w:rsidRPr="004B3EB9">
        <w:rPr>
          <w:rFonts w:ascii="Times New Roman" w:hAnsi="Times New Roman"/>
          <w:sz w:val="20"/>
          <w:szCs w:val="20"/>
          <w:vertAlign w:val="superscript"/>
        </w:rPr>
        <w:t>9</w:t>
      </w:r>
      <w:r w:rsidRPr="004B3EB9">
        <w:rPr>
          <w:rFonts w:ascii="Times New Roman" w:hAnsi="Times New Roman"/>
          <w:sz w:val="20"/>
          <w:szCs w:val="20"/>
        </w:rPr>
        <w:t xml:space="preserve">/L, trombosit sayısı </w:t>
      </w:r>
      <w:r w:rsidR="000D1D65" w:rsidRPr="004B3EB9">
        <w:rPr>
          <w:rFonts w:ascii="Times New Roman" w:hAnsi="Times New Roman"/>
          <w:sz w:val="20"/>
          <w:szCs w:val="20"/>
        </w:rPr>
        <w:t>≥</w:t>
      </w:r>
      <w:r w:rsidRPr="004B3EB9">
        <w:rPr>
          <w:rFonts w:ascii="Times New Roman" w:hAnsi="Times New Roman"/>
          <w:sz w:val="20"/>
          <w:szCs w:val="20"/>
        </w:rPr>
        <w:t>100 x 10</w:t>
      </w:r>
      <w:r w:rsidR="00015105" w:rsidRPr="004B3EB9">
        <w:rPr>
          <w:rFonts w:ascii="Times New Roman" w:hAnsi="Times New Roman"/>
          <w:sz w:val="20"/>
          <w:szCs w:val="20"/>
          <w:vertAlign w:val="superscript"/>
        </w:rPr>
        <w:t>9</w:t>
      </w:r>
      <w:r w:rsidR="000D1D65" w:rsidRPr="004B3EB9">
        <w:rPr>
          <w:rFonts w:ascii="Times New Roman" w:hAnsi="Times New Roman"/>
          <w:sz w:val="20"/>
          <w:szCs w:val="20"/>
        </w:rPr>
        <w:t xml:space="preserve">/l, </w:t>
      </w:r>
      <w:r w:rsidRPr="004B3EB9">
        <w:rPr>
          <w:rFonts w:ascii="Times New Roman" w:hAnsi="Times New Roman"/>
          <w:sz w:val="20"/>
          <w:szCs w:val="20"/>
        </w:rPr>
        <w:t xml:space="preserve">kanda blast </w:t>
      </w:r>
      <w:r w:rsidR="00015105" w:rsidRPr="004B3EB9">
        <w:rPr>
          <w:rFonts w:ascii="Times New Roman" w:hAnsi="Times New Roman"/>
          <w:sz w:val="20"/>
          <w:szCs w:val="20"/>
        </w:rPr>
        <w:t>hücre</w:t>
      </w:r>
      <w:r w:rsidR="000D3D03">
        <w:rPr>
          <w:rFonts w:ascii="Times New Roman" w:hAnsi="Times New Roman"/>
          <w:sz w:val="20"/>
          <w:szCs w:val="20"/>
        </w:rPr>
        <w:t>si</w:t>
      </w:r>
      <w:r w:rsidRPr="004B3EB9">
        <w:rPr>
          <w:rFonts w:ascii="Times New Roman" w:hAnsi="Times New Roman"/>
          <w:sz w:val="20"/>
          <w:szCs w:val="20"/>
        </w:rPr>
        <w:t xml:space="preserve"> yok, BM blast hücresi </w:t>
      </w:r>
      <w:r w:rsidR="004F3870" w:rsidRPr="004B3EB9">
        <w:rPr>
          <w:rFonts w:ascii="Times New Roman" w:hAnsi="Times New Roman"/>
          <w:sz w:val="20"/>
          <w:szCs w:val="20"/>
        </w:rPr>
        <w:t>oranı</w:t>
      </w:r>
      <w:r w:rsidRPr="004B3EB9">
        <w:rPr>
          <w:rFonts w:ascii="Times New Roman" w:hAnsi="Times New Roman"/>
          <w:sz w:val="20"/>
          <w:szCs w:val="20"/>
        </w:rPr>
        <w:t xml:space="preserve"> </w:t>
      </w:r>
      <w:r w:rsidRPr="004B3EB9">
        <w:rPr>
          <w:rFonts w:ascii="Times New Roman" w:hAnsi="Times New Roman"/>
          <w:i/>
          <w:iCs/>
          <w:sz w:val="20"/>
          <w:szCs w:val="20"/>
        </w:rPr>
        <w:t xml:space="preserve">&lt;%5 </w:t>
      </w:r>
      <w:r w:rsidRPr="004B3EB9">
        <w:rPr>
          <w:rFonts w:ascii="Times New Roman" w:hAnsi="Times New Roman"/>
          <w:sz w:val="20"/>
          <w:szCs w:val="20"/>
        </w:rPr>
        <w:t>ve BM dışında hastalık yok]</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NEL</w:t>
      </w:r>
      <w:r w:rsidR="00E52D27" w:rsidRPr="004B3EB9">
        <w:rPr>
          <w:rFonts w:ascii="Times New Roman" w:hAnsi="Times New Roman"/>
          <w:sz w:val="20"/>
          <w:szCs w:val="20"/>
        </w:rPr>
        <w:t>:</w:t>
      </w:r>
      <w:r w:rsidR="000D1D65" w:rsidRPr="004B3EB9">
        <w:rPr>
          <w:rFonts w:ascii="Times New Roman" w:hAnsi="Times New Roman"/>
          <w:sz w:val="20"/>
          <w:szCs w:val="20"/>
        </w:rPr>
        <w:t xml:space="preserve"> THY ile aynı </w:t>
      </w:r>
      <w:proofErr w:type="gramStart"/>
      <w:r w:rsidR="000D1D65" w:rsidRPr="004B3EB9">
        <w:rPr>
          <w:rFonts w:ascii="Times New Roman" w:hAnsi="Times New Roman"/>
          <w:sz w:val="20"/>
          <w:szCs w:val="20"/>
        </w:rPr>
        <w:t>kriterler</w:t>
      </w:r>
      <w:proofErr w:type="gramEnd"/>
      <w:r w:rsidR="000D1D65" w:rsidRPr="004B3EB9">
        <w:rPr>
          <w:rFonts w:ascii="Times New Roman" w:hAnsi="Times New Roman"/>
          <w:sz w:val="20"/>
          <w:szCs w:val="20"/>
        </w:rPr>
        <w:t>;</w:t>
      </w:r>
      <w:r w:rsidRPr="004B3EB9">
        <w:rPr>
          <w:rFonts w:ascii="Times New Roman" w:hAnsi="Times New Roman"/>
          <w:sz w:val="20"/>
          <w:szCs w:val="20"/>
        </w:rPr>
        <w:t xml:space="preserve"> yalnızca ANC </w:t>
      </w:r>
      <w:r w:rsidR="000D1D65" w:rsidRPr="004B3EB9">
        <w:rPr>
          <w:rFonts w:ascii="Times New Roman" w:hAnsi="Times New Roman"/>
          <w:sz w:val="20"/>
          <w:szCs w:val="20"/>
        </w:rPr>
        <w:t>≥</w:t>
      </w:r>
      <w:r w:rsidRPr="004B3EB9">
        <w:rPr>
          <w:rFonts w:ascii="Times New Roman" w:hAnsi="Times New Roman"/>
          <w:sz w:val="20"/>
          <w:szCs w:val="20"/>
        </w:rPr>
        <w:t>1 x</w:t>
      </w:r>
      <w:r w:rsidR="00E52D27" w:rsidRPr="004B3EB9">
        <w:rPr>
          <w:rFonts w:ascii="Times New Roman" w:hAnsi="Times New Roman"/>
          <w:sz w:val="20"/>
          <w:szCs w:val="20"/>
        </w:rPr>
        <w:t>10</w:t>
      </w:r>
      <w:r w:rsidR="00E52D27" w:rsidRPr="004B3EB9">
        <w:rPr>
          <w:rFonts w:ascii="Times New Roman" w:hAnsi="Times New Roman"/>
          <w:sz w:val="20"/>
          <w:szCs w:val="20"/>
          <w:vertAlign w:val="superscript"/>
        </w:rPr>
        <w:t>9</w:t>
      </w:r>
      <w:r w:rsidRPr="004B3EB9">
        <w:rPr>
          <w:rFonts w:ascii="Times New Roman" w:hAnsi="Times New Roman"/>
          <w:sz w:val="20"/>
          <w:szCs w:val="20"/>
        </w:rPr>
        <w:t xml:space="preserve">/L ve trombosit sayısı </w:t>
      </w:r>
      <w:r w:rsidR="000D1D65" w:rsidRPr="004B3EB9">
        <w:rPr>
          <w:rFonts w:ascii="Times New Roman" w:hAnsi="Times New Roman"/>
          <w:sz w:val="20"/>
          <w:szCs w:val="20"/>
        </w:rPr>
        <w:t>≥</w:t>
      </w:r>
      <w:r w:rsidRPr="004B3EB9">
        <w:rPr>
          <w:rFonts w:ascii="Times New Roman" w:hAnsi="Times New Roman"/>
          <w:sz w:val="20"/>
          <w:szCs w:val="20"/>
        </w:rPr>
        <w:t>20 xl0</w:t>
      </w:r>
      <w:r w:rsidRPr="004B3EB9">
        <w:rPr>
          <w:rFonts w:ascii="Times New Roman" w:hAnsi="Times New Roman"/>
          <w:sz w:val="20"/>
          <w:szCs w:val="20"/>
          <w:vertAlign w:val="superscript"/>
        </w:rPr>
        <w:t>9</w:t>
      </w:r>
      <w:r w:rsidRPr="004B3EB9">
        <w:rPr>
          <w:rFonts w:ascii="Times New Roman" w:hAnsi="Times New Roman"/>
          <w:sz w:val="20"/>
          <w:szCs w:val="20"/>
        </w:rPr>
        <w:t>/L (çalışma 0102 ve 0109</w:t>
      </w:r>
      <w:r w:rsidR="00F54064">
        <w:rPr>
          <w:rFonts w:ascii="Times New Roman" w:hAnsi="Times New Roman"/>
          <w:sz w:val="20"/>
          <w:szCs w:val="20"/>
        </w:rPr>
        <w:t>’</w:t>
      </w:r>
      <w:r w:rsidRPr="004B3EB9">
        <w:rPr>
          <w:rFonts w:ascii="Times New Roman" w:hAnsi="Times New Roman"/>
          <w:sz w:val="20"/>
          <w:szCs w:val="20"/>
        </w:rPr>
        <w:t>da)</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RTC</w:t>
      </w:r>
      <w:r w:rsidR="00AB7956" w:rsidRPr="004B3EB9">
        <w:rPr>
          <w:rFonts w:ascii="Times New Roman" w:hAnsi="Times New Roman"/>
          <w:sz w:val="20"/>
          <w:szCs w:val="20"/>
        </w:rPr>
        <w:t>:</w:t>
      </w:r>
      <w:r w:rsidRPr="004B3EB9">
        <w:rPr>
          <w:rFonts w:ascii="Times New Roman" w:hAnsi="Times New Roman"/>
          <w:sz w:val="20"/>
          <w:szCs w:val="20"/>
        </w:rPr>
        <w:t xml:space="preserve"> BM ve PB blast hücresi </w:t>
      </w:r>
      <w:r w:rsidR="004F3870" w:rsidRPr="004B3EB9">
        <w:rPr>
          <w:rFonts w:ascii="Times New Roman" w:hAnsi="Times New Roman"/>
          <w:sz w:val="20"/>
          <w:szCs w:val="20"/>
        </w:rPr>
        <w:t>oranı</w:t>
      </w:r>
      <w:r w:rsidRPr="004B3EB9">
        <w:rPr>
          <w:rFonts w:ascii="Times New Roman" w:hAnsi="Times New Roman"/>
          <w:sz w:val="20"/>
          <w:szCs w:val="20"/>
        </w:rPr>
        <w:t xml:space="preserve"> &lt;%15</w:t>
      </w:r>
      <w:r w:rsidR="000D1D65" w:rsidRPr="004B3EB9">
        <w:rPr>
          <w:rFonts w:ascii="Times New Roman" w:hAnsi="Times New Roman"/>
          <w:sz w:val="20"/>
          <w:szCs w:val="20"/>
        </w:rPr>
        <w:t>;</w:t>
      </w:r>
      <w:r w:rsidRPr="004B3EB9">
        <w:rPr>
          <w:rFonts w:ascii="Times New Roman" w:hAnsi="Times New Roman"/>
          <w:sz w:val="20"/>
          <w:szCs w:val="20"/>
        </w:rPr>
        <w:t xml:space="preserve"> </w:t>
      </w:r>
      <w:r w:rsidR="008121D3">
        <w:rPr>
          <w:rFonts w:ascii="Times New Roman" w:hAnsi="Times New Roman"/>
          <w:sz w:val="20"/>
          <w:szCs w:val="20"/>
        </w:rPr>
        <w:t>B</w:t>
      </w:r>
      <w:r w:rsidR="008121D3" w:rsidRPr="004B3EB9">
        <w:rPr>
          <w:rFonts w:ascii="Times New Roman" w:hAnsi="Times New Roman"/>
          <w:sz w:val="20"/>
          <w:szCs w:val="20"/>
        </w:rPr>
        <w:t xml:space="preserve">M </w:t>
      </w:r>
      <w:r w:rsidRPr="004B3EB9">
        <w:rPr>
          <w:rFonts w:ascii="Times New Roman" w:hAnsi="Times New Roman"/>
          <w:sz w:val="20"/>
          <w:szCs w:val="20"/>
        </w:rPr>
        <w:t>ve PB blast hücresi + prom</w:t>
      </w:r>
      <w:r w:rsidR="00AB7956" w:rsidRPr="004B3EB9">
        <w:rPr>
          <w:rFonts w:ascii="Times New Roman" w:hAnsi="Times New Roman"/>
          <w:sz w:val="20"/>
          <w:szCs w:val="20"/>
        </w:rPr>
        <w:t>i</w:t>
      </w:r>
      <w:r w:rsidRPr="004B3EB9">
        <w:rPr>
          <w:rFonts w:ascii="Times New Roman" w:hAnsi="Times New Roman"/>
          <w:sz w:val="20"/>
          <w:szCs w:val="20"/>
        </w:rPr>
        <w:t>yelos</w:t>
      </w:r>
      <w:r w:rsidR="00AB7956" w:rsidRPr="004B3EB9">
        <w:rPr>
          <w:rFonts w:ascii="Times New Roman" w:hAnsi="Times New Roman"/>
          <w:sz w:val="20"/>
          <w:szCs w:val="20"/>
        </w:rPr>
        <w:t>i</w:t>
      </w:r>
      <w:r w:rsidRPr="004B3EB9">
        <w:rPr>
          <w:rFonts w:ascii="Times New Roman" w:hAnsi="Times New Roman"/>
          <w:sz w:val="20"/>
          <w:szCs w:val="20"/>
        </w:rPr>
        <w:t xml:space="preserve">t </w:t>
      </w:r>
      <w:r w:rsidR="004F3870" w:rsidRPr="004B3EB9">
        <w:rPr>
          <w:rFonts w:ascii="Times New Roman" w:hAnsi="Times New Roman"/>
          <w:sz w:val="20"/>
          <w:szCs w:val="20"/>
        </w:rPr>
        <w:t>oranı</w:t>
      </w:r>
      <w:r w:rsidRPr="004B3EB9">
        <w:rPr>
          <w:rFonts w:ascii="Times New Roman" w:hAnsi="Times New Roman"/>
          <w:sz w:val="20"/>
          <w:szCs w:val="20"/>
        </w:rPr>
        <w:t xml:space="preserve"> &lt;%30, PB bazo</w:t>
      </w:r>
      <w:r w:rsidR="00AB7956" w:rsidRPr="004B3EB9">
        <w:rPr>
          <w:rFonts w:ascii="Times New Roman" w:hAnsi="Times New Roman"/>
          <w:sz w:val="20"/>
          <w:szCs w:val="20"/>
        </w:rPr>
        <w:t>fi</w:t>
      </w:r>
      <w:r w:rsidRPr="004B3EB9">
        <w:rPr>
          <w:rFonts w:ascii="Times New Roman" w:hAnsi="Times New Roman"/>
          <w:sz w:val="20"/>
          <w:szCs w:val="20"/>
        </w:rPr>
        <w:t xml:space="preserve">l </w:t>
      </w:r>
      <w:r w:rsidR="004F3870" w:rsidRPr="004B3EB9">
        <w:rPr>
          <w:rFonts w:ascii="Times New Roman" w:hAnsi="Times New Roman"/>
          <w:sz w:val="20"/>
          <w:szCs w:val="20"/>
        </w:rPr>
        <w:t>oranı</w:t>
      </w:r>
      <w:r w:rsidRPr="004B3EB9">
        <w:rPr>
          <w:rFonts w:ascii="Times New Roman" w:hAnsi="Times New Roman"/>
          <w:sz w:val="20"/>
          <w:szCs w:val="20"/>
        </w:rPr>
        <w:t xml:space="preserve"> &lt;%20, dalak ve karaciğer hariç BM dışında hastalık yok (çalışma 0102 ve 0109</w:t>
      </w:r>
      <w:r w:rsidR="00F54064">
        <w:rPr>
          <w:rFonts w:ascii="Times New Roman" w:hAnsi="Times New Roman"/>
          <w:sz w:val="20"/>
          <w:szCs w:val="20"/>
        </w:rPr>
        <w:t>’</w:t>
      </w:r>
      <w:r w:rsidRPr="004B3EB9">
        <w:rPr>
          <w:rFonts w:ascii="Times New Roman" w:hAnsi="Times New Roman"/>
          <w:sz w:val="20"/>
          <w:szCs w:val="20"/>
        </w:rPr>
        <w:t>da)</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ANC = mutlak n</w:t>
      </w:r>
      <w:r w:rsidR="00E52D27" w:rsidRPr="004B3EB9">
        <w:rPr>
          <w:rFonts w:ascii="Times New Roman" w:hAnsi="Times New Roman"/>
          <w:sz w:val="20"/>
          <w:szCs w:val="20"/>
        </w:rPr>
        <w:t>ö</w:t>
      </w:r>
      <w:r w:rsidRPr="004B3EB9">
        <w:rPr>
          <w:rFonts w:ascii="Times New Roman" w:hAnsi="Times New Roman"/>
          <w:sz w:val="20"/>
          <w:szCs w:val="20"/>
        </w:rPr>
        <w:t xml:space="preserve">trofil sayısı, BM </w:t>
      </w:r>
      <w:r w:rsidR="00E52D27" w:rsidRPr="004B3EB9">
        <w:rPr>
          <w:rFonts w:ascii="Times New Roman" w:hAnsi="Times New Roman"/>
          <w:sz w:val="20"/>
          <w:szCs w:val="20"/>
        </w:rPr>
        <w:t>= kemik iliği</w:t>
      </w:r>
      <w:r w:rsidRPr="004B3EB9">
        <w:rPr>
          <w:rFonts w:ascii="Times New Roman" w:hAnsi="Times New Roman"/>
          <w:sz w:val="20"/>
          <w:szCs w:val="20"/>
        </w:rPr>
        <w:t>, PB = pe</w:t>
      </w:r>
      <w:r w:rsidR="00E52D27" w:rsidRPr="004B3EB9">
        <w:rPr>
          <w:rFonts w:ascii="Times New Roman" w:hAnsi="Times New Roman"/>
          <w:sz w:val="20"/>
          <w:szCs w:val="20"/>
        </w:rPr>
        <w:t>riferi</w:t>
      </w:r>
      <w:r w:rsidRPr="004B3EB9">
        <w:rPr>
          <w:rFonts w:ascii="Times New Roman" w:hAnsi="Times New Roman"/>
          <w:sz w:val="20"/>
          <w:szCs w:val="20"/>
        </w:rPr>
        <w:t>k kan, WBC = l</w:t>
      </w:r>
      <w:r w:rsidR="00E52D27" w:rsidRPr="004B3EB9">
        <w:rPr>
          <w:rFonts w:ascii="Times New Roman" w:hAnsi="Times New Roman"/>
          <w:sz w:val="20"/>
          <w:szCs w:val="20"/>
        </w:rPr>
        <w:t>ö</w:t>
      </w:r>
      <w:r w:rsidRPr="004B3EB9">
        <w:rPr>
          <w:rFonts w:ascii="Times New Roman" w:hAnsi="Times New Roman"/>
          <w:sz w:val="20"/>
          <w:szCs w:val="20"/>
        </w:rPr>
        <w:t>kos</w:t>
      </w:r>
      <w:r w:rsidR="00E52D27" w:rsidRPr="004B3EB9">
        <w:rPr>
          <w:rFonts w:ascii="Times New Roman" w:hAnsi="Times New Roman"/>
          <w:sz w:val="20"/>
          <w:szCs w:val="20"/>
        </w:rPr>
        <w:t>i</w:t>
      </w:r>
      <w:r w:rsidRPr="004B3EB9">
        <w:rPr>
          <w:rFonts w:ascii="Times New Roman" w:hAnsi="Times New Roman"/>
          <w:sz w:val="20"/>
          <w:szCs w:val="20"/>
        </w:rPr>
        <w:t>t sayısı</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b/>
          <w:bCs/>
          <w:sz w:val="20"/>
          <w:szCs w:val="20"/>
          <w:vertAlign w:val="superscript"/>
        </w:rPr>
        <w:t>2</w:t>
      </w:r>
      <w:r w:rsidRPr="004B3EB9">
        <w:rPr>
          <w:rFonts w:ascii="Times New Roman" w:hAnsi="Times New Roman"/>
          <w:b/>
          <w:bCs/>
          <w:sz w:val="20"/>
          <w:szCs w:val="20"/>
        </w:rPr>
        <w:t>Si</w:t>
      </w:r>
      <w:r w:rsidR="00AB7956" w:rsidRPr="004B3EB9">
        <w:rPr>
          <w:rFonts w:ascii="Times New Roman" w:hAnsi="Times New Roman"/>
          <w:b/>
          <w:bCs/>
          <w:sz w:val="20"/>
          <w:szCs w:val="20"/>
        </w:rPr>
        <w:t>t</w:t>
      </w:r>
      <w:r w:rsidRPr="004B3EB9">
        <w:rPr>
          <w:rFonts w:ascii="Times New Roman" w:hAnsi="Times New Roman"/>
          <w:b/>
          <w:bCs/>
          <w:sz w:val="20"/>
          <w:szCs w:val="20"/>
        </w:rPr>
        <w:t>oge</w:t>
      </w:r>
      <w:r w:rsidR="00E52D27" w:rsidRPr="004B3EB9">
        <w:rPr>
          <w:rFonts w:ascii="Times New Roman" w:hAnsi="Times New Roman"/>
          <w:b/>
          <w:bCs/>
          <w:sz w:val="20"/>
          <w:szCs w:val="20"/>
        </w:rPr>
        <w:t>net</w:t>
      </w:r>
      <w:r w:rsidRPr="004B3EB9">
        <w:rPr>
          <w:rFonts w:ascii="Times New Roman" w:hAnsi="Times New Roman"/>
          <w:b/>
          <w:bCs/>
          <w:sz w:val="20"/>
          <w:szCs w:val="20"/>
        </w:rPr>
        <w:t xml:space="preserve">ik yanıt </w:t>
      </w:r>
      <w:proofErr w:type="gramStart"/>
      <w:r w:rsidRPr="004B3EB9">
        <w:rPr>
          <w:rFonts w:ascii="Times New Roman" w:hAnsi="Times New Roman"/>
          <w:b/>
          <w:bCs/>
          <w:sz w:val="20"/>
          <w:szCs w:val="20"/>
        </w:rPr>
        <w:t>kriterleri</w:t>
      </w:r>
      <w:proofErr w:type="gramEnd"/>
      <w:r w:rsidRPr="004B3EB9">
        <w:rPr>
          <w:rFonts w:ascii="Times New Roman" w:hAnsi="Times New Roman"/>
          <w:b/>
          <w:bCs/>
          <w:sz w:val="20"/>
          <w:szCs w:val="20"/>
        </w:rPr>
        <w:t>:</w:t>
      </w:r>
    </w:p>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 xml:space="preserve">Major </w:t>
      </w:r>
      <w:r w:rsidR="00594F00" w:rsidRPr="004B3EB9">
        <w:rPr>
          <w:rFonts w:ascii="Times New Roman" w:hAnsi="Times New Roman"/>
          <w:sz w:val="20"/>
          <w:szCs w:val="20"/>
        </w:rPr>
        <w:t>yanıt</w:t>
      </w:r>
      <w:r w:rsidRPr="004B3EB9">
        <w:rPr>
          <w:rFonts w:ascii="Times New Roman" w:hAnsi="Times New Roman"/>
          <w:sz w:val="20"/>
          <w:szCs w:val="20"/>
        </w:rPr>
        <w:t xml:space="preserve"> = tam (%0 Ph+ metafaz) + kısm</w:t>
      </w:r>
      <w:r w:rsidR="000D1D65" w:rsidRPr="004B3EB9">
        <w:rPr>
          <w:rFonts w:ascii="Times New Roman" w:hAnsi="Times New Roman"/>
          <w:sz w:val="20"/>
          <w:szCs w:val="20"/>
        </w:rPr>
        <w:t>i</w:t>
      </w:r>
      <w:r w:rsidRPr="004B3EB9">
        <w:rPr>
          <w:rFonts w:ascii="Times New Roman" w:hAnsi="Times New Roman"/>
          <w:sz w:val="20"/>
          <w:szCs w:val="20"/>
        </w:rPr>
        <w:t xml:space="preserve"> (%</w:t>
      </w:r>
      <w:r w:rsidR="00AB7956" w:rsidRPr="004B3EB9">
        <w:rPr>
          <w:rFonts w:ascii="Times New Roman" w:hAnsi="Times New Roman"/>
          <w:sz w:val="20"/>
          <w:szCs w:val="20"/>
        </w:rPr>
        <w:t xml:space="preserve"> </w:t>
      </w:r>
      <w:r w:rsidRPr="004B3EB9">
        <w:rPr>
          <w:rFonts w:ascii="Times New Roman" w:hAnsi="Times New Roman"/>
          <w:sz w:val="20"/>
          <w:szCs w:val="20"/>
        </w:rPr>
        <w:t xml:space="preserve">l-35) </w:t>
      </w:r>
      <w:r w:rsidR="00594F00" w:rsidRPr="004B3EB9">
        <w:rPr>
          <w:rFonts w:ascii="Times New Roman" w:hAnsi="Times New Roman"/>
          <w:sz w:val="20"/>
          <w:szCs w:val="20"/>
        </w:rPr>
        <w:t>yanıt</w:t>
      </w:r>
    </w:p>
    <w:p w:rsidR="00FF5FEE" w:rsidRDefault="00FF5FEE" w:rsidP="00C86B5D">
      <w:pPr>
        <w:spacing w:after="0"/>
        <w:jc w:val="both"/>
        <w:rPr>
          <w:rFonts w:ascii="Times New Roman" w:hAnsi="Times New Roman"/>
          <w:b/>
          <w:bCs/>
          <w:i/>
          <w:iCs/>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i/>
          <w:iCs/>
          <w:sz w:val="24"/>
          <w:szCs w:val="24"/>
        </w:rPr>
        <w:t>Pediatrik hastalar</w:t>
      </w:r>
      <w:r w:rsidRPr="004B3EB9">
        <w:rPr>
          <w:rFonts w:ascii="Times New Roman" w:hAnsi="Times New Roman"/>
          <w:sz w:val="24"/>
          <w:szCs w:val="24"/>
        </w:rPr>
        <w:t>: Açık-etiket</w:t>
      </w:r>
      <w:r w:rsidR="00AB7956" w:rsidRPr="004B3EB9">
        <w:rPr>
          <w:rFonts w:ascii="Times New Roman" w:hAnsi="Times New Roman"/>
          <w:sz w:val="24"/>
          <w:szCs w:val="24"/>
        </w:rPr>
        <w:t>li</w:t>
      </w:r>
      <w:r w:rsidRPr="004B3EB9">
        <w:rPr>
          <w:rFonts w:ascii="Times New Roman" w:hAnsi="Times New Roman"/>
          <w:sz w:val="24"/>
          <w:szCs w:val="24"/>
        </w:rPr>
        <w:t>, çok merkez</w:t>
      </w:r>
      <w:r w:rsidR="00AB7956" w:rsidRPr="004B3EB9">
        <w:rPr>
          <w:rFonts w:ascii="Times New Roman" w:hAnsi="Times New Roman"/>
          <w:sz w:val="24"/>
          <w:szCs w:val="24"/>
        </w:rPr>
        <w:t>li</w:t>
      </w:r>
      <w:r w:rsidRPr="004B3EB9">
        <w:rPr>
          <w:rFonts w:ascii="Times New Roman" w:hAnsi="Times New Roman"/>
          <w:sz w:val="24"/>
          <w:szCs w:val="24"/>
        </w:rPr>
        <w:t xml:space="preserve">, tek kollu bir faz </w:t>
      </w:r>
      <w:r w:rsidRPr="004B3EB9">
        <w:rPr>
          <w:rFonts w:ascii="Times New Roman" w:hAnsi="Times New Roman"/>
          <w:sz w:val="24"/>
          <w:szCs w:val="24"/>
          <w:lang w:val="en-US"/>
        </w:rPr>
        <w:t xml:space="preserve">II </w:t>
      </w:r>
      <w:r w:rsidRPr="004B3EB9">
        <w:rPr>
          <w:rFonts w:ascii="Times New Roman" w:hAnsi="Times New Roman"/>
          <w:sz w:val="24"/>
          <w:szCs w:val="24"/>
        </w:rPr>
        <w:t>çalışmaya, tanısı yeni konmuş ve tedavi edilmemiş kronik fazda KML</w:t>
      </w:r>
      <w:r w:rsidR="00F54064">
        <w:rPr>
          <w:rFonts w:ascii="Times New Roman" w:hAnsi="Times New Roman"/>
          <w:sz w:val="24"/>
          <w:szCs w:val="24"/>
        </w:rPr>
        <w:t>’</w:t>
      </w:r>
      <w:r w:rsidRPr="004B3EB9">
        <w:rPr>
          <w:rFonts w:ascii="Times New Roman" w:hAnsi="Times New Roman"/>
          <w:sz w:val="24"/>
          <w:szCs w:val="24"/>
        </w:rPr>
        <w:t>si olan toplam 51 pediyatrik hasta katılmıştır</w:t>
      </w:r>
      <w:r w:rsidR="00FF5FEE">
        <w:rPr>
          <w:rFonts w:ascii="Times New Roman" w:hAnsi="Times New Roman"/>
          <w:sz w:val="24"/>
          <w:szCs w:val="24"/>
        </w:rPr>
        <w:t xml:space="preserve"> ve h</w:t>
      </w:r>
      <w:r w:rsidRPr="004B3EB9">
        <w:rPr>
          <w:rFonts w:ascii="Times New Roman" w:hAnsi="Times New Roman"/>
          <w:sz w:val="24"/>
          <w:szCs w:val="24"/>
        </w:rPr>
        <w:t>astalara 340 mg/m</w:t>
      </w:r>
      <w:r w:rsidRPr="004B3EB9">
        <w:rPr>
          <w:rFonts w:ascii="Times New Roman" w:hAnsi="Times New Roman"/>
          <w:sz w:val="24"/>
          <w:szCs w:val="24"/>
          <w:vertAlign w:val="superscript"/>
        </w:rPr>
        <w:t>2</w:t>
      </w:r>
      <w:r w:rsidRPr="004B3EB9">
        <w:rPr>
          <w:rFonts w:ascii="Times New Roman" w:hAnsi="Times New Roman"/>
          <w:sz w:val="24"/>
          <w:szCs w:val="24"/>
        </w:rPr>
        <w:t xml:space="preserve">/gün dozla </w:t>
      </w:r>
      <w:r w:rsidR="00AB7956" w:rsidRPr="004B3EB9">
        <w:rPr>
          <w:rFonts w:ascii="Times New Roman" w:hAnsi="Times New Roman"/>
          <w:sz w:val="24"/>
          <w:szCs w:val="24"/>
        </w:rPr>
        <w:t>imatinib</w:t>
      </w:r>
      <w:r w:rsidRPr="004B3EB9">
        <w:rPr>
          <w:rFonts w:ascii="Times New Roman" w:hAnsi="Times New Roman"/>
          <w:sz w:val="24"/>
          <w:szCs w:val="24"/>
        </w:rPr>
        <w:t xml:space="preserve"> tedavisi uygulanmış</w:t>
      </w:r>
      <w:r w:rsidR="00FF5FEE">
        <w:rPr>
          <w:rFonts w:ascii="Times New Roman" w:hAnsi="Times New Roman"/>
          <w:sz w:val="24"/>
          <w:szCs w:val="24"/>
        </w:rPr>
        <w:t xml:space="preserve">tır. </w:t>
      </w:r>
      <w:r w:rsidR="008B5727" w:rsidRPr="004B3EB9">
        <w:rPr>
          <w:rFonts w:ascii="Times New Roman" w:hAnsi="Times New Roman"/>
          <w:sz w:val="24"/>
          <w:szCs w:val="24"/>
        </w:rPr>
        <w:t>İ</w:t>
      </w:r>
      <w:r w:rsidR="00AB7956" w:rsidRPr="004B3EB9">
        <w:rPr>
          <w:rFonts w:ascii="Times New Roman" w:hAnsi="Times New Roman"/>
          <w:sz w:val="24"/>
          <w:szCs w:val="24"/>
        </w:rPr>
        <w:t>matinib</w:t>
      </w:r>
      <w:r w:rsidRPr="004B3EB9">
        <w:rPr>
          <w:rFonts w:ascii="Times New Roman" w:hAnsi="Times New Roman"/>
          <w:sz w:val="24"/>
          <w:szCs w:val="24"/>
        </w:rPr>
        <w:t xml:space="preserve"> tedavisiyle yeni tanı konmuş pediyatrik KML </w:t>
      </w:r>
      <w:r w:rsidR="009E236D" w:rsidRPr="004B3EB9">
        <w:rPr>
          <w:rFonts w:ascii="Times New Roman" w:hAnsi="Times New Roman"/>
          <w:sz w:val="24"/>
          <w:szCs w:val="24"/>
        </w:rPr>
        <w:t>hastaların</w:t>
      </w:r>
      <w:r w:rsidRPr="004B3EB9">
        <w:rPr>
          <w:rFonts w:ascii="Times New Roman" w:hAnsi="Times New Roman"/>
          <w:sz w:val="24"/>
          <w:szCs w:val="24"/>
        </w:rPr>
        <w:t xml:space="preserve">da hızlı bir yanıt sağlanmış, 8 haftalık tedaviden sonra THY </w:t>
      </w:r>
      <w:r w:rsidR="004F3870" w:rsidRPr="004B3EB9">
        <w:rPr>
          <w:rFonts w:ascii="Times New Roman" w:hAnsi="Times New Roman"/>
          <w:sz w:val="24"/>
          <w:szCs w:val="24"/>
        </w:rPr>
        <w:t>oranı</w:t>
      </w:r>
      <w:r w:rsidRPr="004B3EB9">
        <w:rPr>
          <w:rFonts w:ascii="Times New Roman" w:hAnsi="Times New Roman"/>
          <w:sz w:val="24"/>
          <w:szCs w:val="24"/>
        </w:rPr>
        <w:t xml:space="preserve"> %78 olmuş</w:t>
      </w:r>
      <w:r w:rsidR="00FF5FEE">
        <w:rPr>
          <w:rFonts w:ascii="Times New Roman" w:hAnsi="Times New Roman"/>
          <w:sz w:val="24"/>
          <w:szCs w:val="24"/>
        </w:rPr>
        <w:t xml:space="preserve"> ve 3-10 aylık tedaviden sonra </w:t>
      </w:r>
      <w:r w:rsidRPr="004B3EB9">
        <w:rPr>
          <w:rFonts w:ascii="Times New Roman" w:hAnsi="Times New Roman"/>
          <w:sz w:val="24"/>
          <w:szCs w:val="24"/>
        </w:rPr>
        <w:t>tam sitogenetik yanıtın (TSY) %65 oran</w:t>
      </w:r>
      <w:r w:rsidR="00AB7956" w:rsidRPr="004B3EB9">
        <w:rPr>
          <w:rFonts w:ascii="Times New Roman" w:hAnsi="Times New Roman"/>
          <w:sz w:val="24"/>
          <w:szCs w:val="24"/>
        </w:rPr>
        <w:t>ın</w:t>
      </w:r>
      <w:r w:rsidRPr="004B3EB9">
        <w:rPr>
          <w:rFonts w:ascii="Times New Roman" w:hAnsi="Times New Roman"/>
          <w:sz w:val="24"/>
          <w:szCs w:val="24"/>
        </w:rPr>
        <w:t xml:space="preserve">da </w:t>
      </w:r>
      <w:r w:rsidR="00975789">
        <w:rPr>
          <w:rFonts w:ascii="Times New Roman" w:hAnsi="Times New Roman"/>
          <w:sz w:val="24"/>
          <w:szCs w:val="24"/>
        </w:rPr>
        <w:t xml:space="preserve">(yetişkinlerde gözlenene yakın) </w:t>
      </w:r>
      <w:r w:rsidRPr="004B3EB9">
        <w:rPr>
          <w:rFonts w:ascii="Times New Roman" w:hAnsi="Times New Roman"/>
          <w:sz w:val="24"/>
          <w:szCs w:val="24"/>
        </w:rPr>
        <w:t>gerçekleştiği de gözlenmiştir</w:t>
      </w:r>
    </w:p>
    <w:p w:rsidR="0016127A" w:rsidRDefault="00975789" w:rsidP="00C86B5D">
      <w:pPr>
        <w:spacing w:after="0"/>
        <w:jc w:val="both"/>
        <w:rPr>
          <w:rFonts w:ascii="Times New Roman" w:hAnsi="Times New Roman"/>
          <w:sz w:val="24"/>
          <w:szCs w:val="24"/>
        </w:rPr>
      </w:pPr>
      <w:r>
        <w:rPr>
          <w:rFonts w:ascii="Times New Roman" w:hAnsi="Times New Roman"/>
          <w:sz w:val="24"/>
          <w:szCs w:val="24"/>
        </w:rPr>
        <w:t>K</w:t>
      </w:r>
      <w:r w:rsidR="00396DF1" w:rsidRPr="004B3EB9">
        <w:rPr>
          <w:rFonts w:ascii="Times New Roman" w:hAnsi="Times New Roman"/>
          <w:sz w:val="24"/>
          <w:szCs w:val="24"/>
        </w:rPr>
        <w:t>ronik faz KML</w:t>
      </w:r>
      <w:r>
        <w:rPr>
          <w:rFonts w:ascii="Times New Roman" w:hAnsi="Times New Roman"/>
          <w:sz w:val="24"/>
          <w:szCs w:val="24"/>
        </w:rPr>
        <w:t>’si</w:t>
      </w:r>
      <w:r w:rsidR="00396DF1" w:rsidRPr="004B3EB9">
        <w:rPr>
          <w:rFonts w:ascii="Times New Roman" w:hAnsi="Times New Roman"/>
          <w:sz w:val="24"/>
          <w:szCs w:val="24"/>
        </w:rPr>
        <w:t xml:space="preserve"> (n=15)</w:t>
      </w:r>
      <w:r>
        <w:rPr>
          <w:rFonts w:ascii="Times New Roman" w:hAnsi="Times New Roman"/>
          <w:sz w:val="24"/>
          <w:szCs w:val="24"/>
        </w:rPr>
        <w:t>,</w:t>
      </w:r>
      <w:r w:rsidR="00396DF1" w:rsidRPr="004B3EB9">
        <w:rPr>
          <w:rFonts w:ascii="Times New Roman" w:hAnsi="Times New Roman"/>
          <w:sz w:val="24"/>
          <w:szCs w:val="24"/>
        </w:rPr>
        <w:t xml:space="preserve"> blast krizi</w:t>
      </w:r>
      <w:r>
        <w:rPr>
          <w:rFonts w:ascii="Times New Roman" w:hAnsi="Times New Roman"/>
          <w:sz w:val="24"/>
          <w:szCs w:val="24"/>
        </w:rPr>
        <w:t xml:space="preserve"> aşamasında</w:t>
      </w:r>
      <w:r w:rsidR="00396DF1" w:rsidRPr="004B3EB9">
        <w:rPr>
          <w:rFonts w:ascii="Times New Roman" w:hAnsi="Times New Roman"/>
          <w:sz w:val="24"/>
          <w:szCs w:val="24"/>
        </w:rPr>
        <w:t xml:space="preserve"> KML</w:t>
      </w:r>
      <w:r>
        <w:rPr>
          <w:rFonts w:ascii="Times New Roman" w:hAnsi="Times New Roman"/>
          <w:sz w:val="24"/>
          <w:szCs w:val="24"/>
        </w:rPr>
        <w:t>’si</w:t>
      </w:r>
      <w:r w:rsidR="00396DF1" w:rsidRPr="004B3EB9">
        <w:rPr>
          <w:rFonts w:ascii="Times New Roman" w:hAnsi="Times New Roman"/>
          <w:sz w:val="24"/>
          <w:szCs w:val="24"/>
        </w:rPr>
        <w:t xml:space="preserve"> ya da Ph+ </w:t>
      </w:r>
      <w:r w:rsidR="0016127A">
        <w:rPr>
          <w:rFonts w:ascii="Times New Roman" w:hAnsi="Times New Roman"/>
          <w:sz w:val="24"/>
          <w:szCs w:val="24"/>
        </w:rPr>
        <w:t>ALL’si</w:t>
      </w:r>
      <w:r w:rsidR="00396DF1" w:rsidRPr="004B3EB9">
        <w:rPr>
          <w:rFonts w:ascii="Times New Roman" w:hAnsi="Times New Roman"/>
          <w:sz w:val="24"/>
          <w:szCs w:val="24"/>
        </w:rPr>
        <w:t xml:space="preserve"> (n=16) olan</w:t>
      </w:r>
      <w:r w:rsidR="0016127A">
        <w:rPr>
          <w:rFonts w:ascii="Times New Roman" w:hAnsi="Times New Roman"/>
          <w:sz w:val="24"/>
          <w:szCs w:val="24"/>
        </w:rPr>
        <w:t xml:space="preserve">, daha önce ağır tedavi uygulanmış (%45’ine daha önce BMT ve %68’ine daha önce çoklu ajan </w:t>
      </w:r>
      <w:proofErr w:type="gramStart"/>
      <w:r w:rsidR="0016127A">
        <w:rPr>
          <w:rFonts w:ascii="Times New Roman" w:hAnsi="Times New Roman"/>
          <w:sz w:val="24"/>
          <w:szCs w:val="24"/>
        </w:rPr>
        <w:t>kemoterapisi</w:t>
      </w:r>
      <w:proofErr w:type="gramEnd"/>
      <w:r w:rsidR="0016127A">
        <w:rPr>
          <w:rFonts w:ascii="Times New Roman" w:hAnsi="Times New Roman"/>
          <w:sz w:val="24"/>
          <w:szCs w:val="24"/>
        </w:rPr>
        <w:t xml:space="preserve">) </w:t>
      </w:r>
      <w:r w:rsidR="00396DF1" w:rsidRPr="004B3EB9">
        <w:rPr>
          <w:rFonts w:ascii="Times New Roman" w:hAnsi="Times New Roman"/>
          <w:sz w:val="24"/>
          <w:szCs w:val="24"/>
        </w:rPr>
        <w:t xml:space="preserve"> toplam 31 pediatrik hasta </w:t>
      </w:r>
      <w:r w:rsidR="0016127A">
        <w:rPr>
          <w:rFonts w:ascii="Times New Roman" w:hAnsi="Times New Roman"/>
          <w:sz w:val="24"/>
          <w:szCs w:val="24"/>
        </w:rPr>
        <w:t>bir doz yükseltme faz 1 çalışmaya kaydedilmiştir</w:t>
      </w:r>
      <w:r w:rsidR="00396DF1" w:rsidRPr="004B3EB9">
        <w:rPr>
          <w:rFonts w:ascii="Times New Roman" w:hAnsi="Times New Roman"/>
          <w:sz w:val="24"/>
          <w:szCs w:val="24"/>
        </w:rPr>
        <w:t xml:space="preserve">. </w:t>
      </w:r>
    </w:p>
    <w:p w:rsidR="00683C9A"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Hastalar 260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822198">
        <w:rPr>
          <w:rFonts w:ascii="Times New Roman" w:hAnsi="Times New Roman"/>
          <w:sz w:val="24"/>
          <w:szCs w:val="24"/>
        </w:rPr>
        <w:t xml:space="preserve"> </w:t>
      </w:r>
      <w:r w:rsidRPr="004B3EB9">
        <w:rPr>
          <w:rFonts w:ascii="Times New Roman" w:hAnsi="Times New Roman"/>
          <w:sz w:val="24"/>
          <w:szCs w:val="24"/>
        </w:rPr>
        <w:t>ve 570 mg/m</w:t>
      </w:r>
      <w:r w:rsidRPr="004B3EB9">
        <w:rPr>
          <w:rFonts w:ascii="Times New Roman" w:hAnsi="Times New Roman"/>
          <w:sz w:val="24"/>
          <w:szCs w:val="24"/>
          <w:vertAlign w:val="superscript"/>
        </w:rPr>
        <w:t>2</w:t>
      </w:r>
      <w:r w:rsidRPr="004B3EB9">
        <w:rPr>
          <w:rFonts w:ascii="Times New Roman" w:hAnsi="Times New Roman"/>
          <w:sz w:val="24"/>
          <w:szCs w:val="24"/>
        </w:rPr>
        <w:t xml:space="preserve">/gün </w:t>
      </w:r>
      <w:r w:rsidR="00822198">
        <w:rPr>
          <w:rFonts w:ascii="Times New Roman" w:hAnsi="Times New Roman"/>
          <w:sz w:val="24"/>
          <w:szCs w:val="24"/>
        </w:rPr>
        <w:t>aralığında dozlarla tedavi edildi</w:t>
      </w:r>
      <w:r w:rsidRPr="004B3EB9">
        <w:rPr>
          <w:rFonts w:ascii="Times New Roman" w:hAnsi="Times New Roman"/>
          <w:sz w:val="24"/>
          <w:szCs w:val="24"/>
        </w:rPr>
        <w:t>. Sitogenetik verileri mevcut olan 13 KML vakasından 7</w:t>
      </w:r>
      <w:r w:rsidR="00F54064">
        <w:rPr>
          <w:rFonts w:ascii="Times New Roman" w:hAnsi="Times New Roman"/>
          <w:sz w:val="24"/>
          <w:szCs w:val="24"/>
        </w:rPr>
        <w:t>’</w:t>
      </w:r>
      <w:r w:rsidRPr="004B3EB9">
        <w:rPr>
          <w:rFonts w:ascii="Times New Roman" w:hAnsi="Times New Roman"/>
          <w:sz w:val="24"/>
          <w:szCs w:val="24"/>
        </w:rPr>
        <w:t>sinde (%54) tam, 4</w:t>
      </w:r>
      <w:r w:rsidR="00F54064">
        <w:rPr>
          <w:rFonts w:ascii="Times New Roman" w:hAnsi="Times New Roman"/>
          <w:sz w:val="24"/>
          <w:szCs w:val="24"/>
        </w:rPr>
        <w:t>’</w:t>
      </w:r>
      <w:r w:rsidRPr="004B3EB9">
        <w:rPr>
          <w:rFonts w:ascii="Times New Roman" w:hAnsi="Times New Roman"/>
          <w:sz w:val="24"/>
          <w:szCs w:val="24"/>
        </w:rPr>
        <w:t>ünde (%31) kısmi olmak üzere %85</w:t>
      </w:r>
      <w:r w:rsidR="00F54064">
        <w:rPr>
          <w:rFonts w:ascii="Times New Roman" w:hAnsi="Times New Roman"/>
          <w:sz w:val="24"/>
          <w:szCs w:val="24"/>
        </w:rPr>
        <w:t>’</w:t>
      </w:r>
      <w:r w:rsidRPr="004B3EB9">
        <w:rPr>
          <w:rFonts w:ascii="Times New Roman" w:hAnsi="Times New Roman"/>
          <w:sz w:val="24"/>
          <w:szCs w:val="24"/>
        </w:rPr>
        <w:t>inde MSY elde edildi.</w:t>
      </w:r>
    </w:p>
    <w:p w:rsidR="00F36470" w:rsidRPr="004B3EB9" w:rsidRDefault="00E37E23" w:rsidP="00C86B5D">
      <w:pPr>
        <w:spacing w:after="0"/>
        <w:jc w:val="both"/>
        <w:rPr>
          <w:rFonts w:ascii="Times New Roman" w:hAnsi="Times New Roman"/>
          <w:sz w:val="24"/>
          <w:szCs w:val="24"/>
        </w:rPr>
      </w:pPr>
      <w:r>
        <w:rPr>
          <w:rFonts w:ascii="Times New Roman" w:hAnsi="Times New Roman"/>
          <w:sz w:val="24"/>
          <w:szCs w:val="24"/>
        </w:rPr>
        <w:t xml:space="preserve">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sz w:val="24"/>
          <w:szCs w:val="24"/>
        </w:rPr>
        <w:t xml:space="preserve">SM </w:t>
      </w:r>
      <w:r w:rsidRPr="004B3EB9">
        <w:rPr>
          <w:rFonts w:ascii="Times New Roman" w:hAnsi="Times New Roman"/>
          <w:b/>
          <w:bCs/>
          <w:sz w:val="24"/>
          <w:szCs w:val="24"/>
        </w:rPr>
        <w:t>ile İlgili Klinik Çalışmalar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Abl, Kit ya da PDGFR protein tirozin kinazlarla ilişkili yaşamı tehdit edici hasta</w:t>
      </w:r>
      <w:r w:rsidR="00EB6D12" w:rsidRPr="004B3EB9">
        <w:rPr>
          <w:rFonts w:ascii="Times New Roman" w:hAnsi="Times New Roman"/>
          <w:sz w:val="24"/>
          <w:szCs w:val="24"/>
        </w:rPr>
        <w:t>lı</w:t>
      </w:r>
      <w:r w:rsidRPr="004B3EB9">
        <w:rPr>
          <w:rFonts w:ascii="Times New Roman" w:hAnsi="Times New Roman"/>
          <w:sz w:val="24"/>
          <w:szCs w:val="24"/>
        </w:rPr>
        <w:t>kla</w:t>
      </w:r>
      <w:r w:rsidR="00EB6D12" w:rsidRPr="004B3EB9">
        <w:rPr>
          <w:rFonts w:ascii="Times New Roman" w:hAnsi="Times New Roman"/>
          <w:sz w:val="24"/>
          <w:szCs w:val="24"/>
        </w:rPr>
        <w:t>rı</w:t>
      </w:r>
      <w:r w:rsidRPr="004B3EB9">
        <w:rPr>
          <w:rFonts w:ascii="Times New Roman" w:hAnsi="Times New Roman"/>
          <w:sz w:val="24"/>
          <w:szCs w:val="24"/>
        </w:rPr>
        <w:t xml:space="preserve"> olan fark</w:t>
      </w:r>
      <w:r w:rsidR="00EB6D12" w:rsidRPr="004B3EB9">
        <w:rPr>
          <w:rFonts w:ascii="Times New Roman" w:hAnsi="Times New Roman"/>
          <w:sz w:val="24"/>
          <w:szCs w:val="24"/>
        </w:rPr>
        <w:t>lı</w:t>
      </w:r>
      <w:r w:rsidRPr="004B3EB9">
        <w:rPr>
          <w:rFonts w:ascii="Times New Roman" w:hAnsi="Times New Roman"/>
          <w:sz w:val="24"/>
          <w:szCs w:val="24"/>
        </w:rPr>
        <w:t xml:space="preserve"> hasta </w:t>
      </w:r>
      <w:proofErr w:type="gramStart"/>
      <w:r w:rsidRPr="004B3EB9">
        <w:rPr>
          <w:rFonts w:ascii="Times New Roman" w:hAnsi="Times New Roman"/>
          <w:sz w:val="24"/>
          <w:szCs w:val="24"/>
        </w:rPr>
        <w:t>popülasyon</w:t>
      </w:r>
      <w:r w:rsidR="00791617" w:rsidRPr="004B3EB9">
        <w:rPr>
          <w:rFonts w:ascii="Times New Roman" w:hAnsi="Times New Roman"/>
          <w:sz w:val="24"/>
          <w:szCs w:val="24"/>
        </w:rPr>
        <w:t>ların</w:t>
      </w:r>
      <w:r w:rsidRPr="004B3EB9">
        <w:rPr>
          <w:rFonts w:ascii="Times New Roman" w:hAnsi="Times New Roman"/>
          <w:sz w:val="24"/>
          <w:szCs w:val="24"/>
        </w:rPr>
        <w:t>da</w:t>
      </w:r>
      <w:proofErr w:type="gramEnd"/>
      <w:r w:rsidRPr="004B3EB9">
        <w:rPr>
          <w:rFonts w:ascii="Times New Roman" w:hAnsi="Times New Roman"/>
          <w:sz w:val="24"/>
          <w:szCs w:val="24"/>
        </w:rPr>
        <w:t xml:space="preserve"> </w:t>
      </w:r>
      <w:r w:rsidR="00EB6D12" w:rsidRPr="004B3EB9">
        <w:rPr>
          <w:rFonts w:ascii="Times New Roman" w:hAnsi="Times New Roman"/>
          <w:sz w:val="24"/>
          <w:szCs w:val="24"/>
        </w:rPr>
        <w:t>imatinibin</w:t>
      </w:r>
      <w:r w:rsidRPr="004B3EB9">
        <w:rPr>
          <w:rFonts w:ascii="Times New Roman" w:hAnsi="Times New Roman"/>
          <w:sz w:val="24"/>
          <w:szCs w:val="24"/>
        </w:rPr>
        <w:t xml:space="preserve"> test ed</w:t>
      </w:r>
      <w:r w:rsidR="00EB6D12" w:rsidRPr="004B3EB9">
        <w:rPr>
          <w:rFonts w:ascii="Times New Roman" w:hAnsi="Times New Roman"/>
          <w:sz w:val="24"/>
          <w:szCs w:val="24"/>
        </w:rPr>
        <w:t>il</w:t>
      </w:r>
      <w:r w:rsidRPr="004B3EB9">
        <w:rPr>
          <w:rFonts w:ascii="Times New Roman" w:hAnsi="Times New Roman"/>
          <w:sz w:val="24"/>
          <w:szCs w:val="24"/>
        </w:rPr>
        <w:t>diği açık-etiket</w:t>
      </w:r>
      <w:r w:rsidR="00EB6D12" w:rsidRPr="004B3EB9">
        <w:rPr>
          <w:rFonts w:ascii="Times New Roman" w:hAnsi="Times New Roman"/>
          <w:sz w:val="24"/>
          <w:szCs w:val="24"/>
        </w:rPr>
        <w:t>li</w:t>
      </w:r>
      <w:r w:rsidRPr="004B3EB9">
        <w:rPr>
          <w:rFonts w:ascii="Times New Roman" w:hAnsi="Times New Roman"/>
          <w:sz w:val="24"/>
          <w:szCs w:val="24"/>
        </w:rPr>
        <w:t>, çok merkez</w:t>
      </w:r>
      <w:r w:rsidR="00EB6D12" w:rsidRPr="004B3EB9">
        <w:rPr>
          <w:rFonts w:ascii="Times New Roman" w:hAnsi="Times New Roman"/>
          <w:sz w:val="24"/>
          <w:szCs w:val="24"/>
        </w:rPr>
        <w:t>li</w:t>
      </w:r>
      <w:r w:rsidRPr="004B3EB9">
        <w:rPr>
          <w:rFonts w:ascii="Times New Roman" w:hAnsi="Times New Roman"/>
          <w:sz w:val="24"/>
          <w:szCs w:val="24"/>
        </w:rPr>
        <w:t xml:space="preserve"> bir faz </w:t>
      </w:r>
      <w:r w:rsidRPr="004B3EB9">
        <w:rPr>
          <w:rFonts w:ascii="Times New Roman" w:hAnsi="Times New Roman"/>
          <w:sz w:val="24"/>
          <w:szCs w:val="24"/>
          <w:lang w:val="en-US"/>
        </w:rPr>
        <w:t xml:space="preserve">II </w:t>
      </w:r>
      <w:r w:rsidRPr="004B3EB9">
        <w:rPr>
          <w:rFonts w:ascii="Times New Roman" w:hAnsi="Times New Roman"/>
          <w:sz w:val="24"/>
          <w:szCs w:val="24"/>
        </w:rPr>
        <w:t>k</w:t>
      </w:r>
      <w:r w:rsidR="00EB6D12" w:rsidRPr="004B3EB9">
        <w:rPr>
          <w:rFonts w:ascii="Times New Roman" w:hAnsi="Times New Roman"/>
          <w:sz w:val="24"/>
          <w:szCs w:val="24"/>
        </w:rPr>
        <w:t>li</w:t>
      </w:r>
      <w:r w:rsidRPr="004B3EB9">
        <w:rPr>
          <w:rFonts w:ascii="Times New Roman" w:hAnsi="Times New Roman"/>
          <w:sz w:val="24"/>
          <w:szCs w:val="24"/>
        </w:rPr>
        <w:t xml:space="preserve">nik çalışma (çalışma B2225) yürütülmüştür. Bu </w:t>
      </w:r>
      <w:r w:rsidR="00594F00" w:rsidRPr="004B3EB9">
        <w:rPr>
          <w:rFonts w:ascii="Times New Roman" w:hAnsi="Times New Roman"/>
          <w:sz w:val="24"/>
          <w:szCs w:val="24"/>
        </w:rPr>
        <w:t>çalışma</w:t>
      </w:r>
      <w:r w:rsidRPr="004B3EB9">
        <w:rPr>
          <w:rFonts w:ascii="Times New Roman" w:hAnsi="Times New Roman"/>
          <w:sz w:val="24"/>
          <w:szCs w:val="24"/>
        </w:rPr>
        <w:t>da tedavi ed</w:t>
      </w:r>
      <w:r w:rsidR="00EB6D12" w:rsidRPr="004B3EB9">
        <w:rPr>
          <w:rFonts w:ascii="Times New Roman" w:hAnsi="Times New Roman"/>
          <w:sz w:val="24"/>
          <w:szCs w:val="24"/>
        </w:rPr>
        <w:t>il</w:t>
      </w:r>
      <w:r w:rsidRPr="004B3EB9">
        <w:rPr>
          <w:rFonts w:ascii="Times New Roman" w:hAnsi="Times New Roman"/>
          <w:sz w:val="24"/>
          <w:szCs w:val="24"/>
        </w:rPr>
        <w:t>en ve 45</w:t>
      </w:r>
      <w:r w:rsidR="00F54064">
        <w:rPr>
          <w:rFonts w:ascii="Times New Roman" w:hAnsi="Times New Roman"/>
          <w:sz w:val="24"/>
          <w:szCs w:val="24"/>
        </w:rPr>
        <w:t>’</w:t>
      </w:r>
      <w:r w:rsidRPr="004B3EB9">
        <w:rPr>
          <w:rFonts w:ascii="Times New Roman" w:hAnsi="Times New Roman"/>
          <w:sz w:val="24"/>
          <w:szCs w:val="24"/>
        </w:rPr>
        <w:t>inde hematolojik hastalıklar, 140</w:t>
      </w:r>
      <w:r w:rsidR="00F54064">
        <w:rPr>
          <w:rFonts w:ascii="Times New Roman" w:hAnsi="Times New Roman"/>
          <w:sz w:val="24"/>
          <w:szCs w:val="24"/>
        </w:rPr>
        <w:t>’</w:t>
      </w:r>
      <w:r w:rsidRPr="004B3EB9">
        <w:rPr>
          <w:rFonts w:ascii="Times New Roman" w:hAnsi="Times New Roman"/>
          <w:sz w:val="24"/>
          <w:szCs w:val="24"/>
        </w:rPr>
        <w:t>ında da çeşit</w:t>
      </w:r>
      <w:r w:rsidR="00EB6D12" w:rsidRPr="004B3EB9">
        <w:rPr>
          <w:rFonts w:ascii="Times New Roman" w:hAnsi="Times New Roman"/>
          <w:sz w:val="24"/>
          <w:szCs w:val="24"/>
        </w:rPr>
        <w:t>li</w:t>
      </w:r>
      <w:r w:rsidRPr="004B3EB9">
        <w:rPr>
          <w:rFonts w:ascii="Times New Roman" w:hAnsi="Times New Roman"/>
          <w:sz w:val="24"/>
          <w:szCs w:val="24"/>
        </w:rPr>
        <w:t xml:space="preserve"> so</w:t>
      </w:r>
      <w:r w:rsidR="00EB6D12" w:rsidRPr="004B3EB9">
        <w:rPr>
          <w:rFonts w:ascii="Times New Roman" w:hAnsi="Times New Roman"/>
          <w:sz w:val="24"/>
          <w:szCs w:val="24"/>
        </w:rPr>
        <w:t>li</w:t>
      </w:r>
      <w:r w:rsidRPr="004B3EB9">
        <w:rPr>
          <w:rFonts w:ascii="Times New Roman" w:hAnsi="Times New Roman"/>
          <w:sz w:val="24"/>
          <w:szCs w:val="24"/>
        </w:rPr>
        <w:t>d tümörler bulunan 185 hastadan 5</w:t>
      </w:r>
      <w:r w:rsidR="00F54064">
        <w:rPr>
          <w:rFonts w:ascii="Times New Roman" w:hAnsi="Times New Roman"/>
          <w:sz w:val="24"/>
          <w:szCs w:val="24"/>
        </w:rPr>
        <w:t>’</w:t>
      </w:r>
      <w:r w:rsidRPr="004B3EB9">
        <w:rPr>
          <w:rFonts w:ascii="Times New Roman" w:hAnsi="Times New Roman"/>
          <w:sz w:val="24"/>
          <w:szCs w:val="24"/>
        </w:rPr>
        <w:t>i</w:t>
      </w:r>
      <w:r w:rsidR="00A638AE" w:rsidRPr="004B3EB9">
        <w:rPr>
          <w:rFonts w:ascii="Times New Roman" w:hAnsi="Times New Roman"/>
          <w:sz w:val="24"/>
          <w:szCs w:val="24"/>
        </w:rPr>
        <w:t xml:space="preserve">nde SM saptanmıştır. SM hastaları </w:t>
      </w:r>
      <w:r w:rsidRPr="004B3EB9">
        <w:rPr>
          <w:rFonts w:ascii="Times New Roman" w:hAnsi="Times New Roman"/>
          <w:sz w:val="24"/>
          <w:szCs w:val="24"/>
        </w:rPr>
        <w:t xml:space="preserve">günlük 100 mg </w:t>
      </w:r>
      <w:r w:rsidR="00EB6D12" w:rsidRPr="004B3EB9">
        <w:rPr>
          <w:rFonts w:ascii="Times New Roman" w:hAnsi="Times New Roman"/>
          <w:sz w:val="24"/>
          <w:szCs w:val="24"/>
        </w:rPr>
        <w:t>il</w:t>
      </w:r>
      <w:r w:rsidRPr="004B3EB9">
        <w:rPr>
          <w:rFonts w:ascii="Times New Roman" w:hAnsi="Times New Roman"/>
          <w:sz w:val="24"/>
          <w:szCs w:val="24"/>
        </w:rPr>
        <w:t xml:space="preserve">a 400 mg </w:t>
      </w:r>
      <w:r w:rsidR="002E4B03" w:rsidRPr="004B3EB9">
        <w:rPr>
          <w:rFonts w:ascii="Times New Roman" w:hAnsi="Times New Roman"/>
          <w:sz w:val="24"/>
          <w:szCs w:val="24"/>
        </w:rPr>
        <w:t>imatinib</w:t>
      </w:r>
      <w:r w:rsidRPr="004B3EB9">
        <w:rPr>
          <w:rFonts w:ascii="Times New Roman" w:hAnsi="Times New Roman"/>
          <w:sz w:val="24"/>
          <w:szCs w:val="24"/>
        </w:rPr>
        <w:t xml:space="preserve"> ile tedavi edilmiştir. Yayınlanmış 10 vaka raporu ve vaka serisinde, </w:t>
      </w:r>
      <w:r w:rsidR="003176D1" w:rsidRPr="004B3EB9">
        <w:rPr>
          <w:rFonts w:ascii="Times New Roman" w:hAnsi="Times New Roman"/>
          <w:sz w:val="24"/>
          <w:szCs w:val="24"/>
        </w:rPr>
        <w:t>yaşları</w:t>
      </w:r>
      <w:r w:rsidRPr="004B3EB9">
        <w:rPr>
          <w:rFonts w:ascii="Times New Roman" w:hAnsi="Times New Roman"/>
          <w:sz w:val="24"/>
          <w:szCs w:val="24"/>
        </w:rPr>
        <w:t xml:space="preserve"> 26 ila 85 aras</w:t>
      </w:r>
      <w:r w:rsidR="00EB6D12" w:rsidRPr="004B3EB9">
        <w:rPr>
          <w:rFonts w:ascii="Times New Roman" w:hAnsi="Times New Roman"/>
          <w:sz w:val="24"/>
          <w:szCs w:val="24"/>
        </w:rPr>
        <w:t>ın</w:t>
      </w:r>
      <w:r w:rsidRPr="004B3EB9">
        <w:rPr>
          <w:rFonts w:ascii="Times New Roman" w:hAnsi="Times New Roman"/>
          <w:sz w:val="24"/>
          <w:szCs w:val="24"/>
        </w:rPr>
        <w:t>da değişen 25 SM hastası daha b</w:t>
      </w:r>
      <w:r w:rsidR="00EB6D12" w:rsidRPr="004B3EB9">
        <w:rPr>
          <w:rFonts w:ascii="Times New Roman" w:hAnsi="Times New Roman"/>
          <w:sz w:val="24"/>
          <w:szCs w:val="24"/>
        </w:rPr>
        <w:t>il</w:t>
      </w:r>
      <w:r w:rsidRPr="004B3EB9">
        <w:rPr>
          <w:rFonts w:ascii="Times New Roman" w:hAnsi="Times New Roman"/>
          <w:sz w:val="24"/>
          <w:szCs w:val="24"/>
        </w:rPr>
        <w:t xml:space="preserve">dirilmiştir. Bu hastalara da günlük 100 mg </w:t>
      </w:r>
      <w:r w:rsidR="00EB6D12" w:rsidRPr="004B3EB9">
        <w:rPr>
          <w:rFonts w:ascii="Times New Roman" w:hAnsi="Times New Roman"/>
          <w:sz w:val="24"/>
          <w:szCs w:val="24"/>
        </w:rPr>
        <w:t>il</w:t>
      </w:r>
      <w:r w:rsidRPr="004B3EB9">
        <w:rPr>
          <w:rFonts w:ascii="Times New Roman" w:hAnsi="Times New Roman"/>
          <w:sz w:val="24"/>
          <w:szCs w:val="24"/>
        </w:rPr>
        <w:t xml:space="preserve">a 400 mg dozda </w:t>
      </w:r>
      <w:r w:rsidR="002E4B03" w:rsidRPr="004B3EB9">
        <w:rPr>
          <w:rFonts w:ascii="Times New Roman" w:hAnsi="Times New Roman"/>
          <w:sz w:val="24"/>
          <w:szCs w:val="24"/>
        </w:rPr>
        <w:t>imatinib</w:t>
      </w:r>
      <w:r w:rsidRPr="004B3EB9">
        <w:rPr>
          <w:rFonts w:ascii="Times New Roman" w:hAnsi="Times New Roman"/>
          <w:sz w:val="24"/>
          <w:szCs w:val="24"/>
        </w:rPr>
        <w:t xml:space="preserve"> uygulanmıştır. SM için tedavi ed</w:t>
      </w:r>
      <w:r w:rsidR="00EB6D12" w:rsidRPr="004B3EB9">
        <w:rPr>
          <w:rFonts w:ascii="Times New Roman" w:hAnsi="Times New Roman"/>
          <w:sz w:val="24"/>
          <w:szCs w:val="24"/>
        </w:rPr>
        <w:t>il</w:t>
      </w:r>
      <w:r w:rsidRPr="004B3EB9">
        <w:rPr>
          <w:rFonts w:ascii="Times New Roman" w:hAnsi="Times New Roman"/>
          <w:sz w:val="24"/>
          <w:szCs w:val="24"/>
        </w:rPr>
        <w:t xml:space="preserve">en </w:t>
      </w:r>
      <w:r w:rsidR="00EB6D12" w:rsidRPr="004B3EB9">
        <w:rPr>
          <w:rFonts w:ascii="Times New Roman" w:hAnsi="Times New Roman"/>
          <w:sz w:val="24"/>
          <w:szCs w:val="24"/>
        </w:rPr>
        <w:t xml:space="preserve">toplam </w:t>
      </w:r>
      <w:proofErr w:type="gramStart"/>
      <w:r w:rsidR="00EB6D12" w:rsidRPr="004B3EB9">
        <w:rPr>
          <w:rFonts w:ascii="Times New Roman" w:hAnsi="Times New Roman"/>
          <w:sz w:val="24"/>
          <w:szCs w:val="24"/>
        </w:rPr>
        <w:t>popülasyonun</w:t>
      </w:r>
      <w:proofErr w:type="gramEnd"/>
      <w:r w:rsidR="00EB6D12" w:rsidRPr="004B3EB9">
        <w:rPr>
          <w:rFonts w:ascii="Times New Roman" w:hAnsi="Times New Roman"/>
          <w:sz w:val="24"/>
          <w:szCs w:val="24"/>
        </w:rPr>
        <w:t xml:space="preserve"> (30 hasta) 10</w:t>
      </w:r>
      <w:r w:rsidR="00F54064">
        <w:rPr>
          <w:rFonts w:ascii="Times New Roman" w:hAnsi="Times New Roman"/>
          <w:sz w:val="24"/>
          <w:szCs w:val="24"/>
        </w:rPr>
        <w:t>’</w:t>
      </w:r>
      <w:r w:rsidRPr="004B3EB9">
        <w:rPr>
          <w:rFonts w:ascii="Times New Roman" w:hAnsi="Times New Roman"/>
          <w:sz w:val="24"/>
          <w:szCs w:val="24"/>
        </w:rPr>
        <w:t xml:space="preserve">unda (%33) tam hematolojik </w:t>
      </w:r>
      <w:r w:rsidR="00594F00" w:rsidRPr="004B3EB9">
        <w:rPr>
          <w:rFonts w:ascii="Times New Roman" w:hAnsi="Times New Roman"/>
          <w:sz w:val="24"/>
          <w:szCs w:val="24"/>
        </w:rPr>
        <w:t>yanıt</w:t>
      </w:r>
      <w:r w:rsidRPr="004B3EB9">
        <w:rPr>
          <w:rFonts w:ascii="Times New Roman" w:hAnsi="Times New Roman"/>
          <w:sz w:val="24"/>
          <w:szCs w:val="24"/>
        </w:rPr>
        <w:t>, 9</w:t>
      </w:r>
      <w:r w:rsidR="00F54064">
        <w:rPr>
          <w:rFonts w:ascii="Times New Roman" w:hAnsi="Times New Roman"/>
          <w:sz w:val="24"/>
          <w:szCs w:val="24"/>
        </w:rPr>
        <w:t>’</w:t>
      </w:r>
      <w:r w:rsidRPr="004B3EB9">
        <w:rPr>
          <w:rFonts w:ascii="Times New Roman" w:hAnsi="Times New Roman"/>
          <w:sz w:val="24"/>
          <w:szCs w:val="24"/>
        </w:rPr>
        <w:t xml:space="preserve">unda (%30) kısmi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edilmiştir (toplam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4F3870" w:rsidRPr="004B3EB9">
        <w:rPr>
          <w:rFonts w:ascii="Times New Roman" w:hAnsi="Times New Roman"/>
          <w:sz w:val="24"/>
          <w:szCs w:val="24"/>
        </w:rPr>
        <w:t>oranı</w:t>
      </w:r>
      <w:r w:rsidRPr="004B3EB9">
        <w:rPr>
          <w:rFonts w:ascii="Times New Roman" w:hAnsi="Times New Roman"/>
          <w:sz w:val="24"/>
          <w:szCs w:val="24"/>
        </w:rPr>
        <w:t xml:space="preserve"> %63). Sitogenetik anormallikler yayınlanmış raporlarda ve </w:t>
      </w:r>
      <w:r w:rsidR="00594F00" w:rsidRPr="004B3EB9">
        <w:rPr>
          <w:rFonts w:ascii="Times New Roman" w:hAnsi="Times New Roman"/>
          <w:sz w:val="24"/>
          <w:szCs w:val="24"/>
        </w:rPr>
        <w:t>çalışma</w:t>
      </w:r>
      <w:r w:rsidR="00EB6D12" w:rsidRPr="004B3EB9">
        <w:rPr>
          <w:rFonts w:ascii="Times New Roman" w:hAnsi="Times New Roman"/>
          <w:sz w:val="24"/>
          <w:szCs w:val="24"/>
        </w:rPr>
        <w:t xml:space="preserve"> B2225</w:t>
      </w:r>
      <w:r w:rsidR="00F54064">
        <w:rPr>
          <w:rFonts w:ascii="Times New Roman" w:hAnsi="Times New Roman"/>
          <w:sz w:val="24"/>
          <w:szCs w:val="24"/>
        </w:rPr>
        <w:t>’</w:t>
      </w:r>
      <w:r w:rsidR="00EB6D12" w:rsidRPr="004B3EB9">
        <w:rPr>
          <w:rFonts w:ascii="Times New Roman" w:hAnsi="Times New Roman"/>
          <w:sz w:val="24"/>
          <w:szCs w:val="24"/>
        </w:rPr>
        <w:t>te tedavi edil</w:t>
      </w:r>
      <w:r w:rsidRPr="004B3EB9">
        <w:rPr>
          <w:rFonts w:ascii="Times New Roman" w:hAnsi="Times New Roman"/>
          <w:sz w:val="24"/>
          <w:szCs w:val="24"/>
        </w:rPr>
        <w:t>en 30 hasta</w:t>
      </w:r>
      <w:r w:rsidR="00EB6D12" w:rsidRPr="004B3EB9">
        <w:rPr>
          <w:rFonts w:ascii="Times New Roman" w:hAnsi="Times New Roman"/>
          <w:sz w:val="24"/>
          <w:szCs w:val="24"/>
        </w:rPr>
        <w:t>nı</w:t>
      </w:r>
      <w:r w:rsidRPr="004B3EB9">
        <w:rPr>
          <w:rFonts w:ascii="Times New Roman" w:hAnsi="Times New Roman"/>
          <w:sz w:val="24"/>
          <w:szCs w:val="24"/>
        </w:rPr>
        <w:t>n 21</w:t>
      </w:r>
      <w:r w:rsidR="00F54064">
        <w:rPr>
          <w:rFonts w:ascii="Times New Roman" w:hAnsi="Times New Roman"/>
          <w:sz w:val="24"/>
          <w:szCs w:val="24"/>
        </w:rPr>
        <w:t>’</w:t>
      </w:r>
      <w:r w:rsidRPr="004B3EB9">
        <w:rPr>
          <w:rFonts w:ascii="Times New Roman" w:hAnsi="Times New Roman"/>
          <w:sz w:val="24"/>
          <w:szCs w:val="24"/>
        </w:rPr>
        <w:t>inde değerlendirilmiştir. Bu 21 hasta</w:t>
      </w:r>
      <w:r w:rsidR="00EB6D12" w:rsidRPr="004B3EB9">
        <w:rPr>
          <w:rFonts w:ascii="Times New Roman" w:hAnsi="Times New Roman"/>
          <w:sz w:val="24"/>
          <w:szCs w:val="24"/>
        </w:rPr>
        <w:t>nı</w:t>
      </w:r>
      <w:r w:rsidRPr="004B3EB9">
        <w:rPr>
          <w:rFonts w:ascii="Times New Roman" w:hAnsi="Times New Roman"/>
          <w:sz w:val="24"/>
          <w:szCs w:val="24"/>
        </w:rPr>
        <w:t>n sekizinde FIP1L1-PDGFR-alfa füzyon kinaz saptanmıştır. Ça</w:t>
      </w:r>
      <w:r w:rsidR="00EB6D12" w:rsidRPr="004B3EB9">
        <w:rPr>
          <w:rFonts w:ascii="Times New Roman" w:hAnsi="Times New Roman"/>
          <w:sz w:val="24"/>
          <w:szCs w:val="24"/>
        </w:rPr>
        <w:t>lı</w:t>
      </w:r>
      <w:r w:rsidRPr="004B3EB9">
        <w:rPr>
          <w:rFonts w:ascii="Times New Roman" w:hAnsi="Times New Roman"/>
          <w:sz w:val="24"/>
          <w:szCs w:val="24"/>
        </w:rPr>
        <w:t>şma B2225</w:t>
      </w:r>
      <w:r w:rsidR="00F54064">
        <w:rPr>
          <w:rFonts w:ascii="Times New Roman" w:hAnsi="Times New Roman"/>
          <w:sz w:val="24"/>
          <w:szCs w:val="24"/>
        </w:rPr>
        <w:t>’</w:t>
      </w:r>
      <w:r w:rsidRPr="004B3EB9">
        <w:rPr>
          <w:rFonts w:ascii="Times New Roman" w:hAnsi="Times New Roman"/>
          <w:sz w:val="24"/>
          <w:szCs w:val="24"/>
        </w:rPr>
        <w:t>te tedavi edilen hastalarda medyan tedavi süresi 13 ay olmuş (</w:t>
      </w:r>
      <w:proofErr w:type="gramStart"/>
      <w:r w:rsidRPr="004B3EB9">
        <w:rPr>
          <w:rFonts w:ascii="Times New Roman" w:hAnsi="Times New Roman"/>
          <w:sz w:val="24"/>
          <w:szCs w:val="24"/>
        </w:rPr>
        <w:t>aralık</w:t>
      </w:r>
      <w:proofErr w:type="gramEnd"/>
      <w:r w:rsidRPr="004B3EB9">
        <w:rPr>
          <w:rFonts w:ascii="Times New Roman" w:hAnsi="Times New Roman"/>
          <w:sz w:val="24"/>
          <w:szCs w:val="24"/>
        </w:rPr>
        <w:t xml:space="preserve">: 1.4-22.3 ay), yayınlanmış </w:t>
      </w:r>
      <w:r w:rsidR="00EB6D12" w:rsidRPr="004B3EB9">
        <w:rPr>
          <w:rFonts w:ascii="Times New Roman" w:hAnsi="Times New Roman"/>
          <w:sz w:val="24"/>
          <w:szCs w:val="24"/>
        </w:rPr>
        <w:t>li</w:t>
      </w:r>
      <w:r w:rsidRPr="004B3EB9">
        <w:rPr>
          <w:rFonts w:ascii="Times New Roman" w:hAnsi="Times New Roman"/>
          <w:sz w:val="24"/>
          <w:szCs w:val="24"/>
        </w:rPr>
        <w:t xml:space="preserve">teratürde </w:t>
      </w:r>
      <w:r w:rsidR="00594F00" w:rsidRPr="004B3EB9">
        <w:rPr>
          <w:rFonts w:ascii="Times New Roman" w:hAnsi="Times New Roman"/>
          <w:sz w:val="24"/>
          <w:szCs w:val="24"/>
        </w:rPr>
        <w:t>yanıt</w:t>
      </w:r>
      <w:r w:rsidRPr="004B3EB9">
        <w:rPr>
          <w:rFonts w:ascii="Times New Roman" w:hAnsi="Times New Roman"/>
          <w:sz w:val="24"/>
          <w:szCs w:val="24"/>
        </w:rPr>
        <w:t xml:space="preserve"> veren hastalarda ise aralık 1 ay </w:t>
      </w:r>
      <w:r w:rsidR="00EB6D12" w:rsidRPr="004B3EB9">
        <w:rPr>
          <w:rFonts w:ascii="Times New Roman" w:hAnsi="Times New Roman"/>
          <w:sz w:val="24"/>
          <w:szCs w:val="24"/>
        </w:rPr>
        <w:t>il</w:t>
      </w:r>
      <w:r w:rsidRPr="004B3EB9">
        <w:rPr>
          <w:rFonts w:ascii="Times New Roman" w:hAnsi="Times New Roman"/>
          <w:sz w:val="24"/>
          <w:szCs w:val="24"/>
        </w:rPr>
        <w:t>a 30 ayın üzerinde bir süre aras</w:t>
      </w:r>
      <w:r w:rsidR="00EB6D12" w:rsidRPr="004B3EB9">
        <w:rPr>
          <w:rFonts w:ascii="Times New Roman" w:hAnsi="Times New Roman"/>
          <w:sz w:val="24"/>
          <w:szCs w:val="24"/>
        </w:rPr>
        <w:t>ın</w:t>
      </w:r>
      <w:r w:rsidRPr="004B3EB9">
        <w:rPr>
          <w:rFonts w:ascii="Times New Roman" w:hAnsi="Times New Roman"/>
          <w:sz w:val="24"/>
          <w:szCs w:val="24"/>
        </w:rPr>
        <w:t>da değişmişt</w:t>
      </w:r>
      <w:r w:rsidR="00EB6D12" w:rsidRPr="004B3EB9">
        <w:rPr>
          <w:rFonts w:ascii="Times New Roman" w:hAnsi="Times New Roman"/>
          <w:sz w:val="24"/>
          <w:szCs w:val="24"/>
        </w:rPr>
        <w:t>ir</w:t>
      </w:r>
      <w:r w:rsidRPr="004B3EB9">
        <w:rPr>
          <w:rFonts w:ascii="Times New Roman" w:hAnsi="Times New Roman"/>
          <w:sz w:val="24"/>
          <w:szCs w:val="24"/>
        </w:rPr>
        <w:t>. Sonuçlar Tablo 5</w:t>
      </w:r>
      <w:r w:rsidR="00F54064">
        <w:rPr>
          <w:rFonts w:ascii="Times New Roman" w:hAnsi="Times New Roman"/>
          <w:sz w:val="24"/>
          <w:szCs w:val="24"/>
        </w:rPr>
        <w:t>’</w:t>
      </w:r>
      <w:r w:rsidRPr="004B3EB9">
        <w:rPr>
          <w:rFonts w:ascii="Times New Roman" w:hAnsi="Times New Roman"/>
          <w:sz w:val="24"/>
          <w:szCs w:val="24"/>
        </w:rPr>
        <w:t>te verilmiştir.</w:t>
      </w:r>
    </w:p>
    <w:p w:rsidR="00A638AE" w:rsidRPr="004B3EB9" w:rsidRDefault="006F37DF" w:rsidP="00C86B5D">
      <w:pPr>
        <w:spacing w:after="0"/>
        <w:jc w:val="both"/>
        <w:rPr>
          <w:noProof/>
          <w:szCs w:val="24"/>
          <w:lang w:eastAsia="tr-TR"/>
        </w:rPr>
      </w:pPr>
      <w:r>
        <w:rPr>
          <w:noProof/>
          <w:szCs w:val="24"/>
          <w:lang w:eastAsia="tr-TR"/>
        </w:rPr>
        <w:drawing>
          <wp:inline distT="0" distB="0" distL="0" distR="0">
            <wp:extent cx="6029325" cy="1781175"/>
            <wp:effectExtent l="19050" t="0" r="9525" b="0"/>
            <wp:docPr id="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0" cstate="print"/>
                    <a:srcRect/>
                    <a:stretch>
                      <a:fillRect/>
                    </a:stretch>
                  </pic:blipFill>
                  <pic:spPr bwMode="auto">
                    <a:xfrm>
                      <a:off x="0" y="0"/>
                      <a:ext cx="6029325" cy="1781175"/>
                    </a:xfrm>
                    <a:prstGeom prst="rect">
                      <a:avLst/>
                    </a:prstGeom>
                    <a:noFill/>
                    <a:ln w="9525">
                      <a:noFill/>
                      <a:miter lim="800000"/>
                      <a:headEnd/>
                      <a:tailEnd/>
                    </a:ln>
                  </pic:spPr>
                </pic:pic>
              </a:graphicData>
            </a:graphic>
          </wp:inline>
        </w:drawing>
      </w:r>
    </w:p>
    <w:p w:rsidR="00F36470" w:rsidRPr="004B3EB9" w:rsidRDefault="00F36470" w:rsidP="00C86B5D">
      <w:pPr>
        <w:spacing w:after="0"/>
        <w:jc w:val="both"/>
        <w:rPr>
          <w:rFonts w:ascii="Times New Roman" w:hAnsi="Times New Roman"/>
          <w:b/>
          <w:bCs/>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HES ile İlgili Klinik Çalışmalar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Abl, Kit ya da PDGFR protein tirozin kinazlarla ilişkili yaşamı tehdit edici </w:t>
      </w:r>
      <w:r w:rsidR="003176D1" w:rsidRPr="004B3EB9">
        <w:rPr>
          <w:rFonts w:ascii="Times New Roman" w:hAnsi="Times New Roman"/>
          <w:sz w:val="24"/>
          <w:szCs w:val="24"/>
        </w:rPr>
        <w:t>hastalıkları</w:t>
      </w:r>
      <w:r w:rsidRPr="004B3EB9">
        <w:rPr>
          <w:rFonts w:ascii="Times New Roman" w:hAnsi="Times New Roman"/>
          <w:sz w:val="24"/>
          <w:szCs w:val="24"/>
        </w:rPr>
        <w:t xml:space="preserve"> olan fark</w:t>
      </w:r>
      <w:r w:rsidR="003176D1" w:rsidRPr="004B3EB9">
        <w:rPr>
          <w:rFonts w:ascii="Times New Roman" w:hAnsi="Times New Roman"/>
          <w:sz w:val="24"/>
          <w:szCs w:val="24"/>
        </w:rPr>
        <w:t>lı</w:t>
      </w:r>
      <w:r w:rsidRPr="004B3EB9">
        <w:rPr>
          <w:rFonts w:ascii="Times New Roman" w:hAnsi="Times New Roman"/>
          <w:sz w:val="24"/>
          <w:szCs w:val="24"/>
        </w:rPr>
        <w:t xml:space="preserve"> hasta </w:t>
      </w:r>
      <w:proofErr w:type="gramStart"/>
      <w:r w:rsidRPr="004B3EB9">
        <w:rPr>
          <w:rFonts w:ascii="Times New Roman" w:hAnsi="Times New Roman"/>
          <w:sz w:val="24"/>
          <w:szCs w:val="24"/>
        </w:rPr>
        <w:t>popülasyon</w:t>
      </w:r>
      <w:r w:rsidR="00791617" w:rsidRPr="004B3EB9">
        <w:rPr>
          <w:rFonts w:ascii="Times New Roman" w:hAnsi="Times New Roman"/>
          <w:sz w:val="24"/>
          <w:szCs w:val="24"/>
        </w:rPr>
        <w:t>ların</w:t>
      </w:r>
      <w:r w:rsidRPr="004B3EB9">
        <w:rPr>
          <w:rFonts w:ascii="Times New Roman" w:hAnsi="Times New Roman"/>
          <w:sz w:val="24"/>
          <w:szCs w:val="24"/>
        </w:rPr>
        <w:t>da</w:t>
      </w:r>
      <w:proofErr w:type="gramEnd"/>
      <w:r w:rsidRPr="004B3EB9">
        <w:rPr>
          <w:rFonts w:ascii="Times New Roman" w:hAnsi="Times New Roman"/>
          <w:sz w:val="24"/>
          <w:szCs w:val="24"/>
        </w:rPr>
        <w:t xml:space="preserve"> </w:t>
      </w:r>
      <w:r w:rsidR="003176D1" w:rsidRPr="004B3EB9">
        <w:rPr>
          <w:rFonts w:ascii="Times New Roman" w:hAnsi="Times New Roman"/>
          <w:sz w:val="24"/>
          <w:szCs w:val="24"/>
        </w:rPr>
        <w:t>imatinib</w:t>
      </w:r>
      <w:r w:rsidRPr="004B3EB9">
        <w:rPr>
          <w:rFonts w:ascii="Times New Roman" w:hAnsi="Times New Roman"/>
          <w:sz w:val="24"/>
          <w:szCs w:val="24"/>
        </w:rPr>
        <w:t>in test edildiği açık-etiket</w:t>
      </w:r>
      <w:r w:rsidR="003176D1" w:rsidRPr="004B3EB9">
        <w:rPr>
          <w:rFonts w:ascii="Times New Roman" w:hAnsi="Times New Roman"/>
          <w:sz w:val="24"/>
          <w:szCs w:val="24"/>
        </w:rPr>
        <w:t>li</w:t>
      </w:r>
      <w:r w:rsidRPr="004B3EB9">
        <w:rPr>
          <w:rFonts w:ascii="Times New Roman" w:hAnsi="Times New Roman"/>
          <w:sz w:val="24"/>
          <w:szCs w:val="24"/>
        </w:rPr>
        <w:t xml:space="preserve">, çok merkezli bir faz </w:t>
      </w:r>
      <w:r w:rsidRPr="004B3EB9">
        <w:rPr>
          <w:rFonts w:ascii="Times New Roman" w:hAnsi="Times New Roman"/>
          <w:sz w:val="24"/>
          <w:szCs w:val="24"/>
          <w:lang w:val="en-US"/>
        </w:rPr>
        <w:t xml:space="preserve">II </w:t>
      </w:r>
      <w:r w:rsidRPr="004B3EB9">
        <w:rPr>
          <w:rFonts w:ascii="Times New Roman" w:hAnsi="Times New Roman"/>
          <w:sz w:val="24"/>
          <w:szCs w:val="24"/>
        </w:rPr>
        <w:t>klinik çalışma (</w:t>
      </w:r>
      <w:r w:rsidR="00594F00" w:rsidRPr="004B3EB9">
        <w:rPr>
          <w:rFonts w:ascii="Times New Roman" w:hAnsi="Times New Roman"/>
          <w:sz w:val="24"/>
          <w:szCs w:val="24"/>
        </w:rPr>
        <w:t>çalışma</w:t>
      </w:r>
      <w:r w:rsidRPr="004B3EB9">
        <w:rPr>
          <w:rFonts w:ascii="Times New Roman" w:hAnsi="Times New Roman"/>
          <w:sz w:val="24"/>
          <w:szCs w:val="24"/>
        </w:rPr>
        <w:t xml:space="preserve"> B2225) yürütülmüştür. Bu </w:t>
      </w:r>
      <w:r w:rsidR="00594F00" w:rsidRPr="004B3EB9">
        <w:rPr>
          <w:rFonts w:ascii="Times New Roman" w:hAnsi="Times New Roman"/>
          <w:sz w:val="24"/>
          <w:szCs w:val="24"/>
        </w:rPr>
        <w:t>çalışma</w:t>
      </w:r>
      <w:r w:rsidRPr="004B3EB9">
        <w:rPr>
          <w:rFonts w:ascii="Times New Roman" w:hAnsi="Times New Roman"/>
          <w:sz w:val="24"/>
          <w:szCs w:val="24"/>
        </w:rPr>
        <w:t>da, toplam 185 hastadan (45</w:t>
      </w:r>
      <w:r w:rsidR="00F54064">
        <w:rPr>
          <w:rFonts w:ascii="Times New Roman" w:hAnsi="Times New Roman"/>
          <w:sz w:val="24"/>
          <w:szCs w:val="24"/>
        </w:rPr>
        <w:t>’</w:t>
      </w:r>
      <w:r w:rsidRPr="004B3EB9">
        <w:rPr>
          <w:rFonts w:ascii="Times New Roman" w:hAnsi="Times New Roman"/>
          <w:sz w:val="24"/>
          <w:szCs w:val="24"/>
        </w:rPr>
        <w:t>i hemat</w:t>
      </w:r>
      <w:r w:rsidR="003176D1" w:rsidRPr="004B3EB9">
        <w:rPr>
          <w:rFonts w:ascii="Times New Roman" w:hAnsi="Times New Roman"/>
          <w:sz w:val="24"/>
          <w:szCs w:val="24"/>
        </w:rPr>
        <w:t>olojik hastalık, 140</w:t>
      </w:r>
      <w:r w:rsidR="00F54064">
        <w:rPr>
          <w:rFonts w:ascii="Times New Roman" w:hAnsi="Times New Roman"/>
          <w:sz w:val="24"/>
          <w:szCs w:val="24"/>
        </w:rPr>
        <w:t>’</w:t>
      </w:r>
      <w:r w:rsidR="003176D1" w:rsidRPr="004B3EB9">
        <w:rPr>
          <w:rFonts w:ascii="Times New Roman" w:hAnsi="Times New Roman"/>
          <w:sz w:val="24"/>
          <w:szCs w:val="24"/>
        </w:rPr>
        <w:t>ında çeşitli soli</w:t>
      </w:r>
      <w:r w:rsidRPr="004B3EB9">
        <w:rPr>
          <w:rFonts w:ascii="Times New Roman" w:hAnsi="Times New Roman"/>
          <w:sz w:val="24"/>
          <w:szCs w:val="24"/>
        </w:rPr>
        <w:t>d tümörler saptanmıştır) HES</w:t>
      </w:r>
      <w:r w:rsidR="00F54064">
        <w:rPr>
          <w:rFonts w:ascii="Times New Roman" w:hAnsi="Times New Roman"/>
          <w:sz w:val="24"/>
          <w:szCs w:val="24"/>
        </w:rPr>
        <w:t>’</w:t>
      </w:r>
      <w:r w:rsidRPr="004B3EB9">
        <w:rPr>
          <w:rFonts w:ascii="Times New Roman" w:hAnsi="Times New Roman"/>
          <w:sz w:val="24"/>
          <w:szCs w:val="24"/>
        </w:rPr>
        <w:t xml:space="preserve">i olan 14 hasta günde 100 mg </w:t>
      </w:r>
      <w:r w:rsidR="003176D1" w:rsidRPr="004B3EB9">
        <w:rPr>
          <w:rFonts w:ascii="Times New Roman" w:hAnsi="Times New Roman"/>
          <w:sz w:val="24"/>
          <w:szCs w:val="24"/>
        </w:rPr>
        <w:t>ila</w:t>
      </w:r>
      <w:r w:rsidRPr="004B3EB9">
        <w:rPr>
          <w:rFonts w:ascii="Times New Roman" w:hAnsi="Times New Roman"/>
          <w:sz w:val="24"/>
          <w:szCs w:val="24"/>
        </w:rPr>
        <w:t xml:space="preserve"> 1000 mg dozda </w:t>
      </w:r>
      <w:r w:rsidR="003F6DC3" w:rsidRPr="004B3EB9">
        <w:rPr>
          <w:rFonts w:ascii="Times New Roman" w:hAnsi="Times New Roman"/>
          <w:sz w:val="24"/>
          <w:szCs w:val="24"/>
        </w:rPr>
        <w:t>imatinib</w:t>
      </w:r>
      <w:r w:rsidRPr="004B3EB9">
        <w:rPr>
          <w:rFonts w:ascii="Times New Roman" w:hAnsi="Times New Roman"/>
          <w:sz w:val="24"/>
          <w:szCs w:val="24"/>
        </w:rPr>
        <w:t xml:space="preserve"> </w:t>
      </w:r>
      <w:r w:rsidR="003176D1" w:rsidRPr="004B3EB9">
        <w:rPr>
          <w:rFonts w:ascii="Times New Roman" w:hAnsi="Times New Roman"/>
          <w:sz w:val="24"/>
          <w:szCs w:val="24"/>
        </w:rPr>
        <w:t>il</w:t>
      </w:r>
      <w:r w:rsidRPr="004B3EB9">
        <w:rPr>
          <w:rFonts w:ascii="Times New Roman" w:hAnsi="Times New Roman"/>
          <w:sz w:val="24"/>
          <w:szCs w:val="24"/>
        </w:rPr>
        <w:t>e tedavi edilmiştir. Yayınlanmış 35 vaka raporu ve vaka serisinde, HES</w:t>
      </w:r>
      <w:r w:rsidR="00F54064">
        <w:rPr>
          <w:rFonts w:ascii="Times New Roman" w:hAnsi="Times New Roman"/>
          <w:sz w:val="24"/>
          <w:szCs w:val="24"/>
        </w:rPr>
        <w:t>’</w:t>
      </w:r>
      <w:r w:rsidRPr="004B3EB9">
        <w:rPr>
          <w:rFonts w:ascii="Times New Roman" w:hAnsi="Times New Roman"/>
          <w:sz w:val="24"/>
          <w:szCs w:val="24"/>
        </w:rPr>
        <w:t xml:space="preserve">i olan ve </w:t>
      </w:r>
      <w:r w:rsidR="003176D1" w:rsidRPr="004B3EB9">
        <w:rPr>
          <w:rFonts w:ascii="Times New Roman" w:hAnsi="Times New Roman"/>
          <w:sz w:val="24"/>
          <w:szCs w:val="24"/>
        </w:rPr>
        <w:t>yaşları</w:t>
      </w:r>
      <w:r w:rsidRPr="004B3EB9">
        <w:rPr>
          <w:rFonts w:ascii="Times New Roman" w:hAnsi="Times New Roman"/>
          <w:sz w:val="24"/>
          <w:szCs w:val="24"/>
        </w:rPr>
        <w:t xml:space="preserve"> 11 </w:t>
      </w:r>
      <w:r w:rsidR="003176D1" w:rsidRPr="004B3EB9">
        <w:rPr>
          <w:rFonts w:ascii="Times New Roman" w:hAnsi="Times New Roman"/>
          <w:sz w:val="24"/>
          <w:szCs w:val="24"/>
        </w:rPr>
        <w:t>ila</w:t>
      </w:r>
      <w:r w:rsidRPr="004B3EB9">
        <w:rPr>
          <w:rFonts w:ascii="Times New Roman" w:hAnsi="Times New Roman"/>
          <w:sz w:val="24"/>
          <w:szCs w:val="24"/>
        </w:rPr>
        <w:t xml:space="preserve"> 78 arasında değişen 162 hasta daha bildirilmiştir. Bu hastalara, günde 75 mg </w:t>
      </w:r>
      <w:r w:rsidR="003176D1" w:rsidRPr="004B3EB9">
        <w:rPr>
          <w:rFonts w:ascii="Times New Roman" w:hAnsi="Times New Roman"/>
          <w:sz w:val="24"/>
          <w:szCs w:val="24"/>
        </w:rPr>
        <w:t>ila</w:t>
      </w:r>
      <w:r w:rsidRPr="004B3EB9">
        <w:rPr>
          <w:rFonts w:ascii="Times New Roman" w:hAnsi="Times New Roman"/>
          <w:sz w:val="24"/>
          <w:szCs w:val="24"/>
        </w:rPr>
        <w:t xml:space="preserve"> 800 mg dozda </w:t>
      </w:r>
      <w:r w:rsidR="00D6483E" w:rsidRPr="004B3EB9">
        <w:rPr>
          <w:rFonts w:ascii="Times New Roman" w:hAnsi="Times New Roman"/>
          <w:sz w:val="24"/>
          <w:szCs w:val="24"/>
        </w:rPr>
        <w:t>imatinib</w:t>
      </w:r>
      <w:r w:rsidRPr="004B3EB9">
        <w:rPr>
          <w:rFonts w:ascii="Times New Roman" w:hAnsi="Times New Roman"/>
          <w:sz w:val="24"/>
          <w:szCs w:val="24"/>
        </w:rPr>
        <w:t xml:space="preserve"> ver</w:t>
      </w:r>
      <w:r w:rsidR="003176D1" w:rsidRPr="004B3EB9">
        <w:rPr>
          <w:rFonts w:ascii="Times New Roman" w:hAnsi="Times New Roman"/>
          <w:sz w:val="24"/>
          <w:szCs w:val="24"/>
        </w:rPr>
        <w:t>il</w:t>
      </w:r>
      <w:r w:rsidRPr="004B3EB9">
        <w:rPr>
          <w:rFonts w:ascii="Times New Roman" w:hAnsi="Times New Roman"/>
          <w:sz w:val="24"/>
          <w:szCs w:val="24"/>
        </w:rPr>
        <w:t>miştir.</w:t>
      </w:r>
      <w:r w:rsidR="003176D1" w:rsidRPr="004B3EB9">
        <w:rPr>
          <w:rFonts w:ascii="Times New Roman" w:hAnsi="Times New Roman"/>
          <w:sz w:val="24"/>
          <w:szCs w:val="24"/>
        </w:rPr>
        <w:t xml:space="preserve"> </w:t>
      </w:r>
      <w:r w:rsidRPr="004B3EB9">
        <w:rPr>
          <w:rFonts w:ascii="Times New Roman" w:hAnsi="Times New Roman"/>
          <w:sz w:val="24"/>
          <w:szCs w:val="24"/>
        </w:rPr>
        <w:t>HES için tedavi ed</w:t>
      </w:r>
      <w:r w:rsidR="003176D1" w:rsidRPr="004B3EB9">
        <w:rPr>
          <w:rFonts w:ascii="Times New Roman" w:hAnsi="Times New Roman"/>
          <w:sz w:val="24"/>
          <w:szCs w:val="24"/>
        </w:rPr>
        <w:t>ile</w:t>
      </w:r>
      <w:r w:rsidRPr="004B3EB9">
        <w:rPr>
          <w:rFonts w:ascii="Times New Roman" w:hAnsi="Times New Roman"/>
          <w:sz w:val="24"/>
          <w:szCs w:val="24"/>
        </w:rPr>
        <w:t xml:space="preserve">n toplam </w:t>
      </w:r>
      <w:proofErr w:type="gramStart"/>
      <w:r w:rsidRPr="004B3EB9">
        <w:rPr>
          <w:rFonts w:ascii="Times New Roman" w:hAnsi="Times New Roman"/>
          <w:sz w:val="24"/>
          <w:szCs w:val="24"/>
        </w:rPr>
        <w:t>popülasyonun</w:t>
      </w:r>
      <w:proofErr w:type="gramEnd"/>
      <w:r w:rsidRPr="004B3EB9">
        <w:rPr>
          <w:rFonts w:ascii="Times New Roman" w:hAnsi="Times New Roman"/>
          <w:sz w:val="24"/>
          <w:szCs w:val="24"/>
        </w:rPr>
        <w:t xml:space="preserve"> (176 hasta) 107</w:t>
      </w:r>
      <w:r w:rsidR="00F54064">
        <w:rPr>
          <w:rFonts w:ascii="Times New Roman" w:hAnsi="Times New Roman"/>
          <w:sz w:val="24"/>
          <w:szCs w:val="24"/>
        </w:rPr>
        <w:t>’</w:t>
      </w:r>
      <w:r w:rsidRPr="004B3EB9">
        <w:rPr>
          <w:rFonts w:ascii="Times New Roman" w:hAnsi="Times New Roman"/>
          <w:sz w:val="24"/>
          <w:szCs w:val="24"/>
        </w:rPr>
        <w:t xml:space="preserve">sinde (%61) tam hematolojik </w:t>
      </w:r>
      <w:r w:rsidR="00594F00" w:rsidRPr="004B3EB9">
        <w:rPr>
          <w:rFonts w:ascii="Times New Roman" w:hAnsi="Times New Roman"/>
          <w:sz w:val="24"/>
          <w:szCs w:val="24"/>
        </w:rPr>
        <w:t>yanıt</w:t>
      </w:r>
      <w:r w:rsidRPr="004B3EB9">
        <w:rPr>
          <w:rFonts w:ascii="Times New Roman" w:hAnsi="Times New Roman"/>
          <w:sz w:val="24"/>
          <w:szCs w:val="24"/>
        </w:rPr>
        <w:t>, 16</w:t>
      </w:r>
      <w:r w:rsidR="00F54064">
        <w:rPr>
          <w:rFonts w:ascii="Times New Roman" w:hAnsi="Times New Roman"/>
          <w:sz w:val="24"/>
          <w:szCs w:val="24"/>
        </w:rPr>
        <w:t>’</w:t>
      </w:r>
      <w:r w:rsidRPr="004B3EB9">
        <w:rPr>
          <w:rFonts w:ascii="Times New Roman" w:hAnsi="Times New Roman"/>
          <w:sz w:val="24"/>
          <w:szCs w:val="24"/>
        </w:rPr>
        <w:t xml:space="preserve">sında ise (%9) kısmi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edilmiştir (toplam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4F3870" w:rsidRPr="004B3EB9">
        <w:rPr>
          <w:rFonts w:ascii="Times New Roman" w:hAnsi="Times New Roman"/>
          <w:sz w:val="24"/>
          <w:szCs w:val="24"/>
        </w:rPr>
        <w:t>oranı</w:t>
      </w:r>
      <w:r w:rsidRPr="004B3EB9">
        <w:rPr>
          <w:rFonts w:ascii="Times New Roman" w:hAnsi="Times New Roman"/>
          <w:sz w:val="24"/>
          <w:szCs w:val="24"/>
        </w:rPr>
        <w:t xml:space="preserve"> %70). Yayınlanmış raporlarda ve </w:t>
      </w:r>
      <w:r w:rsidR="00594F00" w:rsidRPr="004B3EB9">
        <w:rPr>
          <w:rFonts w:ascii="Times New Roman" w:hAnsi="Times New Roman"/>
          <w:sz w:val="24"/>
          <w:szCs w:val="24"/>
        </w:rPr>
        <w:t>çalışma</w:t>
      </w:r>
      <w:r w:rsidRPr="004B3EB9">
        <w:rPr>
          <w:rFonts w:ascii="Times New Roman" w:hAnsi="Times New Roman"/>
          <w:sz w:val="24"/>
          <w:szCs w:val="24"/>
        </w:rPr>
        <w:t xml:space="preserve"> B2225</w:t>
      </w:r>
      <w:r w:rsidR="00F54064">
        <w:rPr>
          <w:rFonts w:ascii="Times New Roman" w:hAnsi="Times New Roman"/>
          <w:sz w:val="24"/>
          <w:szCs w:val="24"/>
        </w:rPr>
        <w:t>’</w:t>
      </w:r>
      <w:r w:rsidRPr="004B3EB9">
        <w:rPr>
          <w:rFonts w:ascii="Times New Roman" w:hAnsi="Times New Roman"/>
          <w:sz w:val="24"/>
          <w:szCs w:val="24"/>
        </w:rPr>
        <w:t>te, tedavi ed</w:t>
      </w:r>
      <w:r w:rsidR="003176D1" w:rsidRPr="004B3EB9">
        <w:rPr>
          <w:rFonts w:ascii="Times New Roman" w:hAnsi="Times New Roman"/>
          <w:sz w:val="24"/>
          <w:szCs w:val="24"/>
        </w:rPr>
        <w:t>ile</w:t>
      </w:r>
      <w:r w:rsidRPr="004B3EB9">
        <w:rPr>
          <w:rFonts w:ascii="Times New Roman" w:hAnsi="Times New Roman"/>
          <w:sz w:val="24"/>
          <w:szCs w:val="24"/>
        </w:rPr>
        <w:t>n 176 hastadan 117</w:t>
      </w:r>
      <w:r w:rsidR="00F54064">
        <w:rPr>
          <w:rFonts w:ascii="Times New Roman" w:hAnsi="Times New Roman"/>
          <w:sz w:val="24"/>
          <w:szCs w:val="24"/>
        </w:rPr>
        <w:t>’</w:t>
      </w:r>
      <w:r w:rsidRPr="004B3EB9">
        <w:rPr>
          <w:rFonts w:ascii="Times New Roman" w:hAnsi="Times New Roman"/>
          <w:sz w:val="24"/>
          <w:szCs w:val="24"/>
        </w:rPr>
        <w:t xml:space="preserve">sinde sitogenetik anormallikler değerlendirilmiştir. Bu 117 </w:t>
      </w:r>
      <w:r w:rsidR="003176D1" w:rsidRPr="004B3EB9">
        <w:rPr>
          <w:rFonts w:ascii="Times New Roman" w:hAnsi="Times New Roman"/>
          <w:sz w:val="24"/>
          <w:szCs w:val="24"/>
        </w:rPr>
        <w:t>hastanın</w:t>
      </w:r>
      <w:r w:rsidRPr="004B3EB9">
        <w:rPr>
          <w:rFonts w:ascii="Times New Roman" w:hAnsi="Times New Roman"/>
          <w:sz w:val="24"/>
          <w:szCs w:val="24"/>
        </w:rPr>
        <w:t xml:space="preserve"> 61</w:t>
      </w:r>
      <w:r w:rsidR="00F54064">
        <w:rPr>
          <w:rFonts w:ascii="Times New Roman" w:hAnsi="Times New Roman"/>
          <w:sz w:val="24"/>
          <w:szCs w:val="24"/>
        </w:rPr>
        <w:t>’</w:t>
      </w:r>
      <w:r w:rsidRPr="004B3EB9">
        <w:rPr>
          <w:rFonts w:ascii="Times New Roman" w:hAnsi="Times New Roman"/>
          <w:sz w:val="24"/>
          <w:szCs w:val="24"/>
        </w:rPr>
        <w:t>i, FIP</w:t>
      </w:r>
      <w:r w:rsidR="003176D1" w:rsidRPr="004B3EB9">
        <w:rPr>
          <w:rFonts w:ascii="Times New Roman" w:hAnsi="Times New Roman"/>
          <w:sz w:val="24"/>
          <w:szCs w:val="24"/>
        </w:rPr>
        <w:t>1L1</w:t>
      </w:r>
      <w:r w:rsidRPr="004B3EB9">
        <w:rPr>
          <w:rFonts w:ascii="Times New Roman" w:hAnsi="Times New Roman"/>
          <w:sz w:val="24"/>
          <w:szCs w:val="24"/>
        </w:rPr>
        <w:t xml:space="preserve">-PDGFR-alfa füzyon kinaz pozitif bulunmuştur. Tüm bu FIPlLl-PDGFR-alfa füzyon kinaz pozitif hastalarda, tam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w:t>
      </w:r>
      <w:r w:rsidR="003C5EB3" w:rsidRPr="004B3EB9">
        <w:rPr>
          <w:rFonts w:ascii="Times New Roman" w:hAnsi="Times New Roman"/>
          <w:sz w:val="24"/>
          <w:szCs w:val="24"/>
        </w:rPr>
        <w:t>ştir. 115 hastada FIP1L1-PDGFR-</w:t>
      </w:r>
      <w:r w:rsidRPr="004B3EB9">
        <w:rPr>
          <w:rFonts w:ascii="Times New Roman" w:hAnsi="Times New Roman"/>
          <w:sz w:val="24"/>
          <w:szCs w:val="24"/>
        </w:rPr>
        <w:t>alfa füzyon ya negatif bulunmuştur, ya da bilinmemektedir. Bunların 62</w:t>
      </w:r>
      <w:r w:rsidR="00F54064">
        <w:rPr>
          <w:rFonts w:ascii="Times New Roman" w:hAnsi="Times New Roman"/>
          <w:sz w:val="24"/>
          <w:szCs w:val="24"/>
        </w:rPr>
        <w:t>’</w:t>
      </w:r>
      <w:r w:rsidRPr="004B3EB9">
        <w:rPr>
          <w:rFonts w:ascii="Times New Roman" w:hAnsi="Times New Roman"/>
          <w:sz w:val="24"/>
          <w:szCs w:val="24"/>
        </w:rPr>
        <w:t xml:space="preserve">sinde (%54) ya tam (n=46) ya da kısmi (n=16)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edilmiştir. Sonuçlar Tablo 6</w:t>
      </w:r>
      <w:r w:rsidR="00F54064">
        <w:rPr>
          <w:rFonts w:ascii="Times New Roman" w:hAnsi="Times New Roman"/>
          <w:sz w:val="24"/>
          <w:szCs w:val="24"/>
        </w:rPr>
        <w:t>’</w:t>
      </w:r>
      <w:r w:rsidRPr="004B3EB9">
        <w:rPr>
          <w:rFonts w:ascii="Times New Roman" w:hAnsi="Times New Roman"/>
          <w:sz w:val="24"/>
          <w:szCs w:val="24"/>
        </w:rPr>
        <w:t xml:space="preserve">da </w:t>
      </w:r>
      <w:r w:rsidR="003176D1" w:rsidRPr="004B3EB9">
        <w:rPr>
          <w:rFonts w:ascii="Times New Roman" w:hAnsi="Times New Roman"/>
          <w:sz w:val="24"/>
          <w:szCs w:val="24"/>
        </w:rPr>
        <w:t>verilmiştir</w:t>
      </w:r>
      <w:r w:rsidRPr="004B3EB9">
        <w:rPr>
          <w:rFonts w:ascii="Times New Roman" w:hAnsi="Times New Roman"/>
          <w:sz w:val="24"/>
          <w:szCs w:val="24"/>
        </w:rPr>
        <w:t>.</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b/>
          <w:bCs/>
          <w:sz w:val="24"/>
          <w:szCs w:val="24"/>
        </w:rPr>
      </w:pPr>
      <w:r w:rsidRPr="004B3EB9">
        <w:rPr>
          <w:rFonts w:ascii="Times New Roman" w:hAnsi="Times New Roman"/>
          <w:b/>
          <w:bCs/>
          <w:sz w:val="24"/>
          <w:szCs w:val="24"/>
        </w:rPr>
        <w:t>Tablo 6</w:t>
      </w:r>
      <w:r w:rsidR="003C5EB3" w:rsidRPr="004B3EB9">
        <w:rPr>
          <w:rFonts w:ascii="Times New Roman" w:hAnsi="Times New Roman"/>
          <w:b/>
          <w:bCs/>
          <w:sz w:val="24"/>
          <w:szCs w:val="24"/>
        </w:rPr>
        <w:t xml:space="preserve"> </w:t>
      </w:r>
      <w:r w:rsidRPr="004B3EB9">
        <w:rPr>
          <w:rFonts w:ascii="Times New Roman" w:hAnsi="Times New Roman"/>
          <w:b/>
          <w:bCs/>
          <w:sz w:val="24"/>
          <w:szCs w:val="24"/>
        </w:rPr>
        <w:t>HES</w:t>
      </w:r>
      <w:r w:rsidR="00F54064">
        <w:rPr>
          <w:rFonts w:ascii="Times New Roman" w:hAnsi="Times New Roman"/>
          <w:b/>
          <w:bCs/>
          <w:sz w:val="24"/>
          <w:szCs w:val="24"/>
        </w:rPr>
        <w:t>’</w:t>
      </w:r>
      <w:r w:rsidRPr="004B3EB9">
        <w:rPr>
          <w:rFonts w:ascii="Times New Roman" w:hAnsi="Times New Roman"/>
          <w:b/>
          <w:bCs/>
          <w:sz w:val="24"/>
          <w:szCs w:val="24"/>
        </w:rPr>
        <w:t>de Elde Edilen Yanıt</w:t>
      </w:r>
    </w:p>
    <w:p w:rsidR="006B1585" w:rsidRPr="004B3EB9" w:rsidRDefault="006F37DF" w:rsidP="00C86B5D">
      <w:pPr>
        <w:spacing w:after="0"/>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6019800" cy="866775"/>
            <wp:effectExtent l="19050" t="0" r="0" b="0"/>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1" cstate="print"/>
                    <a:srcRect t="17621" r="992" b="-8421"/>
                    <a:stretch>
                      <a:fillRect/>
                    </a:stretch>
                  </pic:blipFill>
                  <pic:spPr bwMode="auto">
                    <a:xfrm>
                      <a:off x="0" y="0"/>
                      <a:ext cx="6019800" cy="866775"/>
                    </a:xfrm>
                    <a:prstGeom prst="rect">
                      <a:avLst/>
                    </a:prstGeom>
                    <a:noFill/>
                    <a:ln w="9525">
                      <a:noFill/>
                      <a:miter lim="800000"/>
                      <a:headEnd/>
                      <a:tailEnd/>
                    </a:ln>
                  </pic:spPr>
                </pic:pic>
              </a:graphicData>
            </a:graphic>
          </wp:inline>
        </w:drawing>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Ayrıca, vaka raporlarında araştırmacılar tarafından, semptomatoloji ve diğer organ fonksiyon bozukluğu anormal</w:t>
      </w:r>
      <w:r w:rsidR="003176D1" w:rsidRPr="004B3EB9">
        <w:rPr>
          <w:rFonts w:ascii="Times New Roman" w:hAnsi="Times New Roman"/>
          <w:sz w:val="24"/>
          <w:szCs w:val="24"/>
        </w:rPr>
        <w:t>li</w:t>
      </w:r>
      <w:r w:rsidRPr="004B3EB9">
        <w:rPr>
          <w:rFonts w:ascii="Times New Roman" w:hAnsi="Times New Roman"/>
          <w:sz w:val="24"/>
          <w:szCs w:val="24"/>
        </w:rPr>
        <w:t>klerinde iyileşmeler b</w:t>
      </w:r>
      <w:r w:rsidR="003176D1" w:rsidRPr="004B3EB9">
        <w:rPr>
          <w:rFonts w:ascii="Times New Roman" w:hAnsi="Times New Roman"/>
          <w:sz w:val="24"/>
          <w:szCs w:val="24"/>
        </w:rPr>
        <w:t>il</w:t>
      </w:r>
      <w:r w:rsidRPr="004B3EB9">
        <w:rPr>
          <w:rFonts w:ascii="Times New Roman" w:hAnsi="Times New Roman"/>
          <w:sz w:val="24"/>
          <w:szCs w:val="24"/>
        </w:rPr>
        <w:t>d</w:t>
      </w:r>
      <w:r w:rsidR="003176D1" w:rsidRPr="004B3EB9">
        <w:rPr>
          <w:rFonts w:ascii="Times New Roman" w:hAnsi="Times New Roman"/>
          <w:sz w:val="24"/>
          <w:szCs w:val="24"/>
        </w:rPr>
        <w:t>irilmiştir. Kalp, sinir, cilt/cil</w:t>
      </w:r>
      <w:r w:rsidRPr="004B3EB9">
        <w:rPr>
          <w:rFonts w:ascii="Times New Roman" w:hAnsi="Times New Roman"/>
          <w:sz w:val="24"/>
          <w:szCs w:val="24"/>
        </w:rPr>
        <w:t>taltı dokusu, solunum/toraks/mediasten, kas-iskelet/bağ dokusu/vasküler ve gastrointestinal organ sistemlerinde iy</w:t>
      </w:r>
      <w:r w:rsidR="003176D1" w:rsidRPr="004B3EB9">
        <w:rPr>
          <w:rFonts w:ascii="Times New Roman" w:hAnsi="Times New Roman"/>
          <w:sz w:val="24"/>
          <w:szCs w:val="24"/>
        </w:rPr>
        <w:t>ile</w:t>
      </w:r>
      <w:r w:rsidR="00D6483E" w:rsidRPr="004B3EB9">
        <w:rPr>
          <w:rFonts w:ascii="Times New Roman" w:hAnsi="Times New Roman"/>
          <w:sz w:val="24"/>
          <w:szCs w:val="24"/>
        </w:rPr>
        <w:t>şmeler bil</w:t>
      </w:r>
      <w:r w:rsidRPr="004B3EB9">
        <w:rPr>
          <w:rFonts w:ascii="Times New Roman" w:hAnsi="Times New Roman"/>
          <w:sz w:val="24"/>
          <w:szCs w:val="24"/>
        </w:rPr>
        <w:t>d</w:t>
      </w:r>
      <w:r w:rsidR="00D6483E" w:rsidRPr="004B3EB9">
        <w:rPr>
          <w:rFonts w:ascii="Times New Roman" w:hAnsi="Times New Roman"/>
          <w:sz w:val="24"/>
          <w:szCs w:val="24"/>
        </w:rPr>
        <w:t>iri</w:t>
      </w:r>
      <w:r w:rsidRPr="004B3EB9">
        <w:rPr>
          <w:rFonts w:ascii="Times New Roman" w:hAnsi="Times New Roman"/>
          <w:sz w:val="24"/>
          <w:szCs w:val="24"/>
        </w:rPr>
        <w:t>lmiştir.</w:t>
      </w:r>
    </w:p>
    <w:p w:rsidR="0006573B" w:rsidRDefault="00F07021" w:rsidP="00C86B5D">
      <w:pPr>
        <w:spacing w:after="0"/>
        <w:jc w:val="both"/>
        <w:rPr>
          <w:rFonts w:ascii="Times New Roman" w:hAnsi="Times New Roman"/>
          <w:b/>
          <w:bCs/>
          <w:sz w:val="24"/>
          <w:szCs w:val="24"/>
        </w:rPr>
      </w:pPr>
      <w:r>
        <w:rPr>
          <w:rFonts w:ascii="Times New Roman" w:hAnsi="Times New Roman"/>
          <w:b/>
          <w:bCs/>
          <w:sz w:val="24"/>
          <w:szCs w:val="24"/>
        </w:rPr>
        <w:t xml:space="preserve">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Karaciğer yetersizliği olan hastalarda yapılan klinik çalışmalar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Çeşit</w:t>
      </w:r>
      <w:r w:rsidR="00785E9D" w:rsidRPr="004B3EB9">
        <w:rPr>
          <w:rFonts w:ascii="Times New Roman" w:hAnsi="Times New Roman"/>
          <w:sz w:val="24"/>
          <w:szCs w:val="24"/>
        </w:rPr>
        <w:t>li</w:t>
      </w:r>
      <w:r w:rsidRPr="004B3EB9">
        <w:rPr>
          <w:rFonts w:ascii="Times New Roman" w:hAnsi="Times New Roman"/>
          <w:sz w:val="24"/>
          <w:szCs w:val="24"/>
        </w:rPr>
        <w:t xml:space="preserve"> derecelerde (hafif, orta şiddette veya </w:t>
      </w:r>
      <w:r w:rsidR="00785E9D" w:rsidRPr="004B3EB9">
        <w:rPr>
          <w:rFonts w:ascii="Times New Roman" w:hAnsi="Times New Roman"/>
          <w:sz w:val="24"/>
          <w:szCs w:val="24"/>
        </w:rPr>
        <w:t>şiddetli</w:t>
      </w:r>
      <w:r w:rsidRPr="004B3EB9">
        <w:rPr>
          <w:rFonts w:ascii="Times New Roman" w:hAnsi="Times New Roman"/>
          <w:sz w:val="24"/>
          <w:szCs w:val="24"/>
        </w:rPr>
        <w:t>; karaciğer f</w:t>
      </w:r>
      <w:r w:rsidR="00785E9D" w:rsidRPr="004B3EB9">
        <w:rPr>
          <w:rFonts w:ascii="Times New Roman" w:hAnsi="Times New Roman"/>
          <w:sz w:val="24"/>
          <w:szCs w:val="24"/>
        </w:rPr>
        <w:t>onksiyon bozukluğunun sınıflandırı</w:t>
      </w:r>
      <w:r w:rsidRPr="004B3EB9">
        <w:rPr>
          <w:rFonts w:ascii="Times New Roman" w:hAnsi="Times New Roman"/>
          <w:sz w:val="24"/>
          <w:szCs w:val="24"/>
        </w:rPr>
        <w:t xml:space="preserve">lması için bkz Tablo </w:t>
      </w:r>
      <w:r w:rsidR="005279EC" w:rsidRPr="004B3EB9">
        <w:rPr>
          <w:rFonts w:ascii="Times New Roman" w:hAnsi="Times New Roman"/>
          <w:sz w:val="24"/>
          <w:szCs w:val="24"/>
        </w:rPr>
        <w:t>7</w:t>
      </w:r>
      <w:r w:rsidRPr="004B3EB9">
        <w:rPr>
          <w:rFonts w:ascii="Times New Roman" w:hAnsi="Times New Roman"/>
          <w:sz w:val="24"/>
          <w:szCs w:val="24"/>
        </w:rPr>
        <w:t>) karaciğer yetersi</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yapılan bir </w:t>
      </w:r>
      <w:r w:rsidR="00594F00" w:rsidRPr="004B3EB9">
        <w:rPr>
          <w:rFonts w:ascii="Times New Roman" w:hAnsi="Times New Roman"/>
          <w:sz w:val="24"/>
          <w:szCs w:val="24"/>
        </w:rPr>
        <w:t>çalışma</w:t>
      </w:r>
      <w:r w:rsidRPr="004B3EB9">
        <w:rPr>
          <w:rFonts w:ascii="Times New Roman" w:hAnsi="Times New Roman"/>
          <w:sz w:val="24"/>
          <w:szCs w:val="24"/>
        </w:rPr>
        <w:t>da imatinibe ortalama maruz kalım (doza göre normalize ed</w:t>
      </w:r>
      <w:r w:rsidR="00785E9D" w:rsidRPr="004B3EB9">
        <w:rPr>
          <w:rFonts w:ascii="Times New Roman" w:hAnsi="Times New Roman"/>
          <w:sz w:val="24"/>
          <w:szCs w:val="24"/>
        </w:rPr>
        <w:t>il</w:t>
      </w:r>
      <w:r w:rsidRPr="004B3EB9">
        <w:rPr>
          <w:rFonts w:ascii="Times New Roman" w:hAnsi="Times New Roman"/>
          <w:sz w:val="24"/>
          <w:szCs w:val="24"/>
        </w:rPr>
        <w:t xml:space="preserve">miş EAA değeri), karaciğer fonksiyonu normal olan hastalara kıyasla artmamıştır. Bu </w:t>
      </w:r>
      <w:r w:rsidR="00594F00" w:rsidRPr="004B3EB9">
        <w:rPr>
          <w:rFonts w:ascii="Times New Roman" w:hAnsi="Times New Roman"/>
          <w:sz w:val="24"/>
          <w:szCs w:val="24"/>
        </w:rPr>
        <w:t>çalışma</w:t>
      </w:r>
      <w:r w:rsidRPr="004B3EB9">
        <w:rPr>
          <w:rFonts w:ascii="Times New Roman" w:hAnsi="Times New Roman"/>
          <w:sz w:val="24"/>
          <w:szCs w:val="24"/>
        </w:rPr>
        <w:t xml:space="preserve"> </w:t>
      </w:r>
      <w:r w:rsidR="004F3870" w:rsidRPr="004B3EB9">
        <w:rPr>
          <w:rFonts w:ascii="Times New Roman" w:hAnsi="Times New Roman"/>
          <w:sz w:val="24"/>
          <w:szCs w:val="24"/>
        </w:rPr>
        <w:t>sırasında</w:t>
      </w:r>
      <w:r w:rsidRPr="004B3EB9">
        <w:rPr>
          <w:rFonts w:ascii="Times New Roman" w:hAnsi="Times New Roman"/>
          <w:sz w:val="24"/>
          <w:szCs w:val="24"/>
        </w:rPr>
        <w:t xml:space="preserve"> hafif karaciğer bozukluğu olan hastalarda günde 500 mg, diğer hastalarda günde 300 mg </w:t>
      </w:r>
      <w:r w:rsidR="005279EC" w:rsidRPr="004B3EB9">
        <w:rPr>
          <w:rFonts w:ascii="Times New Roman" w:hAnsi="Times New Roman"/>
          <w:sz w:val="24"/>
          <w:szCs w:val="24"/>
        </w:rPr>
        <w:t>imatinib</w:t>
      </w:r>
      <w:r w:rsidRPr="004B3EB9">
        <w:rPr>
          <w:rFonts w:ascii="Times New Roman" w:hAnsi="Times New Roman"/>
          <w:sz w:val="24"/>
          <w:szCs w:val="24"/>
        </w:rPr>
        <w:t xml:space="preserve">, güvenle </w:t>
      </w:r>
      <w:r w:rsidR="00594F00" w:rsidRPr="004B3EB9">
        <w:rPr>
          <w:rFonts w:ascii="Times New Roman" w:hAnsi="Times New Roman"/>
          <w:sz w:val="24"/>
          <w:szCs w:val="24"/>
        </w:rPr>
        <w:t>kull</w:t>
      </w:r>
      <w:r w:rsidRPr="004B3EB9">
        <w:rPr>
          <w:rFonts w:ascii="Times New Roman" w:hAnsi="Times New Roman"/>
          <w:sz w:val="24"/>
          <w:szCs w:val="24"/>
        </w:rPr>
        <w:t>an</w:t>
      </w:r>
      <w:r w:rsidR="00785E9D" w:rsidRPr="004B3EB9">
        <w:rPr>
          <w:rFonts w:ascii="Times New Roman" w:hAnsi="Times New Roman"/>
          <w:sz w:val="24"/>
          <w:szCs w:val="24"/>
        </w:rPr>
        <w:t>ıl</w:t>
      </w:r>
      <w:r w:rsidRPr="004B3EB9">
        <w:rPr>
          <w:rFonts w:ascii="Times New Roman" w:hAnsi="Times New Roman"/>
          <w:sz w:val="24"/>
          <w:szCs w:val="24"/>
        </w:rPr>
        <w:t>mıştır. Orta-</w:t>
      </w:r>
      <w:r w:rsidR="003176D1" w:rsidRPr="004B3EB9">
        <w:rPr>
          <w:rFonts w:ascii="Times New Roman" w:hAnsi="Times New Roman"/>
          <w:sz w:val="24"/>
          <w:szCs w:val="24"/>
        </w:rPr>
        <w:t>ile</w:t>
      </w:r>
      <w:r w:rsidRPr="004B3EB9">
        <w:rPr>
          <w:rFonts w:ascii="Times New Roman" w:hAnsi="Times New Roman"/>
          <w:sz w:val="24"/>
          <w:szCs w:val="24"/>
        </w:rPr>
        <w:t xml:space="preserve">ri derecede </w:t>
      </w:r>
      <w:r w:rsidR="00785E9D" w:rsidRPr="004B3EB9">
        <w:rPr>
          <w:rFonts w:ascii="Times New Roman" w:hAnsi="Times New Roman"/>
          <w:sz w:val="24"/>
          <w:szCs w:val="24"/>
        </w:rPr>
        <w:t>şiddetli</w:t>
      </w:r>
      <w:r w:rsidRPr="004B3EB9">
        <w:rPr>
          <w:rFonts w:ascii="Times New Roman" w:hAnsi="Times New Roman"/>
          <w:sz w:val="24"/>
          <w:szCs w:val="24"/>
        </w:rPr>
        <w:t xml:space="preserve"> karaciğer yetersi</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yalnızca 300 miligramlık doz kullan</w:t>
      </w:r>
      <w:r w:rsidR="00785E9D" w:rsidRPr="004B3EB9">
        <w:rPr>
          <w:rFonts w:ascii="Times New Roman" w:hAnsi="Times New Roman"/>
          <w:sz w:val="24"/>
          <w:szCs w:val="24"/>
        </w:rPr>
        <w:t>ılmıştır ama farmakokinetik analiz bunun, 400 mili</w:t>
      </w:r>
      <w:r w:rsidRPr="004B3EB9">
        <w:rPr>
          <w:rFonts w:ascii="Times New Roman" w:hAnsi="Times New Roman"/>
          <w:sz w:val="24"/>
          <w:szCs w:val="24"/>
        </w:rPr>
        <w:t>gramla güvenle yükselt</w:t>
      </w:r>
      <w:r w:rsidR="003176D1" w:rsidRPr="004B3EB9">
        <w:rPr>
          <w:rFonts w:ascii="Times New Roman" w:hAnsi="Times New Roman"/>
          <w:sz w:val="24"/>
          <w:szCs w:val="24"/>
        </w:rPr>
        <w:t>ile</w:t>
      </w:r>
      <w:r w:rsidRPr="004B3EB9">
        <w:rPr>
          <w:rFonts w:ascii="Times New Roman" w:hAnsi="Times New Roman"/>
          <w:sz w:val="24"/>
          <w:szCs w:val="24"/>
        </w:rPr>
        <w:t>b</w:t>
      </w:r>
      <w:r w:rsidR="003176D1" w:rsidRPr="004B3EB9">
        <w:rPr>
          <w:rFonts w:ascii="Times New Roman" w:hAnsi="Times New Roman"/>
          <w:sz w:val="24"/>
          <w:szCs w:val="24"/>
        </w:rPr>
        <w:t>ile</w:t>
      </w:r>
      <w:r w:rsidRPr="004B3EB9">
        <w:rPr>
          <w:rFonts w:ascii="Times New Roman" w:hAnsi="Times New Roman"/>
          <w:sz w:val="24"/>
          <w:szCs w:val="24"/>
        </w:rPr>
        <w:t>ceğini göstermişt</w:t>
      </w:r>
      <w:r w:rsidR="00785E9D" w:rsidRPr="004B3EB9">
        <w:rPr>
          <w:rFonts w:ascii="Times New Roman" w:hAnsi="Times New Roman"/>
          <w:sz w:val="24"/>
          <w:szCs w:val="24"/>
        </w:rPr>
        <w:t>ir</w:t>
      </w:r>
      <w:r w:rsidRPr="004B3EB9">
        <w:rPr>
          <w:rFonts w:ascii="Times New Roman" w:hAnsi="Times New Roman"/>
          <w:sz w:val="24"/>
          <w:szCs w:val="24"/>
        </w:rPr>
        <w:t xml:space="preserve"> (bkz </w:t>
      </w:r>
      <w:proofErr w:type="gramStart"/>
      <w:r w:rsidRPr="004B3EB9">
        <w:rPr>
          <w:rFonts w:ascii="Times New Roman" w:hAnsi="Times New Roman"/>
          <w:sz w:val="24"/>
          <w:szCs w:val="24"/>
        </w:rPr>
        <w:t>4.2</w:t>
      </w:r>
      <w:proofErr w:type="gramEnd"/>
      <w:r w:rsidRPr="004B3EB9">
        <w:rPr>
          <w:rFonts w:ascii="Times New Roman" w:hAnsi="Times New Roman"/>
          <w:sz w:val="24"/>
          <w:szCs w:val="24"/>
        </w:rPr>
        <w:t xml:space="preserve"> Pozoloji ve uygulama şek</w:t>
      </w:r>
      <w:r w:rsidR="00785E9D" w:rsidRPr="004B3EB9">
        <w:rPr>
          <w:rFonts w:ascii="Times New Roman" w:hAnsi="Times New Roman"/>
          <w:sz w:val="24"/>
          <w:szCs w:val="24"/>
        </w:rPr>
        <w:t>il; 4.4 Özel kull</w:t>
      </w:r>
      <w:r w:rsidRPr="004B3EB9">
        <w:rPr>
          <w:rFonts w:ascii="Times New Roman" w:hAnsi="Times New Roman"/>
          <w:sz w:val="24"/>
          <w:szCs w:val="24"/>
        </w:rPr>
        <w:t xml:space="preserve">anım </w:t>
      </w:r>
      <w:r w:rsidR="00077B2B" w:rsidRPr="004B3EB9">
        <w:rPr>
          <w:rFonts w:ascii="Times New Roman" w:hAnsi="Times New Roman"/>
          <w:sz w:val="24"/>
          <w:szCs w:val="24"/>
        </w:rPr>
        <w:t>uyarı</w:t>
      </w:r>
      <w:r w:rsidR="008B5727" w:rsidRPr="004B3EB9">
        <w:rPr>
          <w:rFonts w:ascii="Times New Roman" w:hAnsi="Times New Roman"/>
          <w:sz w:val="24"/>
          <w:szCs w:val="24"/>
        </w:rPr>
        <w:t>ları</w:t>
      </w:r>
      <w:r w:rsidRPr="004B3EB9">
        <w:rPr>
          <w:rFonts w:ascii="Times New Roman" w:hAnsi="Times New Roman"/>
          <w:sz w:val="24"/>
          <w:szCs w:val="24"/>
        </w:rPr>
        <w:t xml:space="preserve"> ve önlemleri; 4.8 İstenmeyen Etkiler ve 5.2 Farmakokinetik Özellikler bölümleri)</w:t>
      </w:r>
    </w:p>
    <w:p w:rsidR="00F36470" w:rsidRPr="00D800C5" w:rsidRDefault="00F36470" w:rsidP="00C86B5D">
      <w:pPr>
        <w:spacing w:after="0"/>
        <w:jc w:val="both"/>
        <w:rPr>
          <w:rFonts w:ascii="Times New Roman" w:hAnsi="Times New Roman"/>
          <w:sz w:val="20"/>
          <w:szCs w:val="20"/>
        </w:rPr>
      </w:pPr>
    </w:p>
    <w:p w:rsidR="00785E9D" w:rsidRPr="004B3EB9" w:rsidRDefault="004A2419" w:rsidP="00C86B5D">
      <w:pPr>
        <w:spacing w:after="0"/>
        <w:rPr>
          <w:rFonts w:ascii="Times New Roman" w:hAnsi="Times New Roman"/>
          <w:b/>
          <w:sz w:val="20"/>
          <w:szCs w:val="20"/>
        </w:rPr>
      </w:pPr>
      <w:r w:rsidRPr="004B3EB9">
        <w:rPr>
          <w:rFonts w:ascii="Times New Roman" w:hAnsi="Times New Roman"/>
          <w:b/>
          <w:sz w:val="20"/>
          <w:szCs w:val="20"/>
        </w:rPr>
        <w:t xml:space="preserve">Tablo </w:t>
      </w:r>
      <w:r w:rsidR="005279EC" w:rsidRPr="004B3EB9">
        <w:rPr>
          <w:rFonts w:ascii="Times New Roman" w:hAnsi="Times New Roman"/>
          <w:b/>
          <w:sz w:val="20"/>
          <w:szCs w:val="20"/>
        </w:rPr>
        <w:t>7</w:t>
      </w:r>
      <w:r w:rsidRPr="004B3EB9">
        <w:rPr>
          <w:rFonts w:ascii="Times New Roman" w:hAnsi="Times New Roman"/>
          <w:b/>
          <w:sz w:val="20"/>
          <w:szCs w:val="20"/>
        </w:rPr>
        <w:t xml:space="preserve">  </w:t>
      </w:r>
      <w:r w:rsidRPr="004B3EB9">
        <w:rPr>
          <w:rFonts w:ascii="Times New Roman" w:hAnsi="Times New Roman"/>
          <w:b/>
          <w:sz w:val="20"/>
          <w:szCs w:val="20"/>
        </w:rPr>
        <w:tab/>
        <w:t>Karaciğer yetersizliğinin sınıflandırılması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954"/>
      </w:tblGrid>
      <w:tr w:rsidR="00077B2B" w:rsidRPr="004B3EB9" w:rsidTr="00E90759">
        <w:trPr>
          <w:trHeight w:val="422"/>
        </w:trPr>
        <w:tc>
          <w:tcPr>
            <w:tcW w:w="2518" w:type="dxa"/>
          </w:tcPr>
          <w:p w:rsidR="00077B2B" w:rsidRPr="004B3EB9" w:rsidRDefault="00077B2B" w:rsidP="00C86B5D">
            <w:pPr>
              <w:spacing w:after="0"/>
              <w:rPr>
                <w:rFonts w:ascii="Times New Roman" w:hAnsi="Times New Roman"/>
                <w:sz w:val="20"/>
                <w:szCs w:val="20"/>
              </w:rPr>
            </w:pPr>
            <w:r w:rsidRPr="004B3EB9">
              <w:rPr>
                <w:rFonts w:ascii="Times New Roman" w:hAnsi="Times New Roman"/>
                <w:sz w:val="20"/>
                <w:szCs w:val="20"/>
              </w:rPr>
              <w:t xml:space="preserve">Karaciğer disfonksiyonu </w:t>
            </w:r>
          </w:p>
        </w:tc>
        <w:tc>
          <w:tcPr>
            <w:tcW w:w="5954" w:type="dxa"/>
          </w:tcPr>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Karaciğer fonksiyon testleri</w:t>
            </w:r>
          </w:p>
        </w:tc>
      </w:tr>
      <w:tr w:rsidR="00077B2B" w:rsidRPr="004B3EB9" w:rsidTr="00E90759">
        <w:trPr>
          <w:trHeight w:val="607"/>
        </w:trPr>
        <w:tc>
          <w:tcPr>
            <w:tcW w:w="2518" w:type="dxa"/>
          </w:tcPr>
          <w:p w:rsidR="00077B2B" w:rsidRPr="004B3EB9" w:rsidRDefault="00077B2B" w:rsidP="00C86B5D">
            <w:pPr>
              <w:spacing w:after="0"/>
              <w:rPr>
                <w:rFonts w:ascii="Times New Roman" w:hAnsi="Times New Roman"/>
                <w:sz w:val="20"/>
                <w:szCs w:val="20"/>
              </w:rPr>
            </w:pPr>
            <w:r w:rsidRPr="004B3EB9">
              <w:rPr>
                <w:rFonts w:ascii="Times New Roman" w:hAnsi="Times New Roman"/>
                <w:sz w:val="20"/>
                <w:szCs w:val="20"/>
              </w:rPr>
              <w:t>Hafif</w:t>
            </w:r>
          </w:p>
        </w:tc>
        <w:tc>
          <w:tcPr>
            <w:tcW w:w="5954" w:type="dxa"/>
          </w:tcPr>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 xml:space="preserve">Total biluribin = </w:t>
            </w:r>
            <w:proofErr w:type="gramStart"/>
            <w:r w:rsidRPr="004B3EB9">
              <w:rPr>
                <w:rFonts w:ascii="Times New Roman" w:hAnsi="Times New Roman"/>
                <w:i/>
                <w:sz w:val="20"/>
                <w:szCs w:val="20"/>
              </w:rPr>
              <w:t>1.5</w:t>
            </w:r>
            <w:proofErr w:type="gramEnd"/>
            <w:r w:rsidRPr="004B3EB9">
              <w:rPr>
                <w:rFonts w:ascii="Times New Roman" w:hAnsi="Times New Roman"/>
                <w:i/>
                <w:sz w:val="20"/>
                <w:szCs w:val="20"/>
              </w:rPr>
              <w:t xml:space="preserve"> ULN </w:t>
            </w:r>
          </w:p>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SGOT: &gt; ULN (total bilirubin &gt; ULN ise normal veya &lt;ULN olabilir )</w:t>
            </w:r>
          </w:p>
        </w:tc>
      </w:tr>
      <w:tr w:rsidR="00077B2B" w:rsidRPr="004B3EB9" w:rsidTr="00E90759">
        <w:trPr>
          <w:trHeight w:val="437"/>
        </w:trPr>
        <w:tc>
          <w:tcPr>
            <w:tcW w:w="2518" w:type="dxa"/>
          </w:tcPr>
          <w:p w:rsidR="00077B2B" w:rsidRPr="004B3EB9" w:rsidRDefault="00077B2B" w:rsidP="00C86B5D">
            <w:pPr>
              <w:spacing w:after="0"/>
              <w:rPr>
                <w:rFonts w:ascii="Times New Roman" w:hAnsi="Times New Roman"/>
                <w:sz w:val="20"/>
                <w:szCs w:val="20"/>
              </w:rPr>
            </w:pPr>
            <w:r w:rsidRPr="004B3EB9">
              <w:rPr>
                <w:rFonts w:ascii="Times New Roman" w:hAnsi="Times New Roman"/>
                <w:sz w:val="20"/>
                <w:szCs w:val="20"/>
              </w:rPr>
              <w:t>Orta şiddette</w:t>
            </w:r>
          </w:p>
        </w:tc>
        <w:tc>
          <w:tcPr>
            <w:tcW w:w="5954" w:type="dxa"/>
          </w:tcPr>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 xml:space="preserve">Total bilirubin = </w:t>
            </w:r>
            <w:proofErr w:type="gramStart"/>
            <w:r w:rsidRPr="004B3EB9">
              <w:rPr>
                <w:rFonts w:ascii="Times New Roman" w:hAnsi="Times New Roman"/>
                <w:i/>
                <w:sz w:val="20"/>
                <w:szCs w:val="20"/>
              </w:rPr>
              <w:t>1.5</w:t>
            </w:r>
            <w:proofErr w:type="gramEnd"/>
            <w:r w:rsidRPr="004B3EB9">
              <w:rPr>
                <w:rFonts w:ascii="Times New Roman" w:hAnsi="Times New Roman"/>
                <w:i/>
                <w:sz w:val="20"/>
                <w:szCs w:val="20"/>
              </w:rPr>
              <w:t xml:space="preserve"> – 3.0 ULN </w:t>
            </w:r>
          </w:p>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SGOT: Herhangi bir değer</w:t>
            </w:r>
          </w:p>
        </w:tc>
      </w:tr>
      <w:tr w:rsidR="00077B2B" w:rsidRPr="004B3EB9" w:rsidTr="00E90759">
        <w:trPr>
          <w:trHeight w:val="422"/>
        </w:trPr>
        <w:tc>
          <w:tcPr>
            <w:tcW w:w="2518" w:type="dxa"/>
          </w:tcPr>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 xml:space="preserve">Şiddetli </w:t>
            </w:r>
          </w:p>
        </w:tc>
        <w:tc>
          <w:tcPr>
            <w:tcW w:w="5954" w:type="dxa"/>
          </w:tcPr>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Total bilirubin = &gt; 3 – 10 ULN</w:t>
            </w:r>
          </w:p>
          <w:p w:rsidR="00077B2B" w:rsidRPr="004B3EB9" w:rsidRDefault="00077B2B" w:rsidP="00C86B5D">
            <w:pPr>
              <w:spacing w:after="0"/>
              <w:rPr>
                <w:rFonts w:ascii="Times New Roman" w:hAnsi="Times New Roman"/>
                <w:i/>
                <w:sz w:val="20"/>
                <w:szCs w:val="20"/>
              </w:rPr>
            </w:pPr>
            <w:r w:rsidRPr="004B3EB9">
              <w:rPr>
                <w:rFonts w:ascii="Times New Roman" w:hAnsi="Times New Roman"/>
                <w:i/>
                <w:sz w:val="20"/>
                <w:szCs w:val="20"/>
              </w:rPr>
              <w:t>SGOT: Herhangi bir değer</w:t>
            </w:r>
          </w:p>
        </w:tc>
      </w:tr>
    </w:tbl>
    <w:p w:rsidR="00077B2B" w:rsidRPr="004B3EB9" w:rsidRDefault="00077B2B" w:rsidP="00C86B5D">
      <w:pPr>
        <w:spacing w:after="0"/>
        <w:jc w:val="both"/>
        <w:rPr>
          <w:rFonts w:ascii="Times New Roman" w:hAnsi="Times New Roman"/>
          <w:sz w:val="20"/>
          <w:szCs w:val="20"/>
        </w:rPr>
      </w:pPr>
      <w:r w:rsidRPr="004B3EB9">
        <w:rPr>
          <w:rFonts w:ascii="Times New Roman" w:hAnsi="Times New Roman"/>
          <w:sz w:val="20"/>
          <w:szCs w:val="20"/>
        </w:rPr>
        <w:t>ULN = Normalin üst sınırı;</w:t>
      </w:r>
    </w:p>
    <w:p w:rsidR="00077B2B" w:rsidRPr="004B3EB9" w:rsidRDefault="00077B2B" w:rsidP="00C86B5D">
      <w:pPr>
        <w:spacing w:after="0"/>
        <w:jc w:val="both"/>
        <w:rPr>
          <w:rFonts w:ascii="Times New Roman" w:hAnsi="Times New Roman"/>
          <w:sz w:val="20"/>
          <w:szCs w:val="20"/>
        </w:rPr>
      </w:pPr>
      <w:r w:rsidRPr="004B3EB9">
        <w:rPr>
          <w:rFonts w:ascii="Times New Roman" w:hAnsi="Times New Roman"/>
          <w:sz w:val="20"/>
          <w:szCs w:val="20"/>
        </w:rPr>
        <w:t>SGOT, serum glutamik oksaloasetik transferaz</w:t>
      </w:r>
    </w:p>
    <w:p w:rsidR="00F36470" w:rsidRPr="004B3EB9" w:rsidRDefault="00F36470" w:rsidP="00C86B5D">
      <w:pPr>
        <w:spacing w:after="0"/>
        <w:jc w:val="both"/>
        <w:rPr>
          <w:rFonts w:ascii="Times New Roman" w:hAnsi="Times New Roman"/>
          <w:sz w:val="20"/>
          <w:szCs w:val="20"/>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Böbrek yetmezliği olan hastalarda yürütülen klinik çalışmalar</w:t>
      </w: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Değişen derecelerde (hafif, orta ve şiddetli - böbrek fonksiyonu sınıflandırması için bkz. aşağıda Tablo </w:t>
      </w:r>
      <w:r w:rsidR="00B21B1E" w:rsidRPr="004B3EB9">
        <w:rPr>
          <w:rFonts w:ascii="Times New Roman" w:hAnsi="Times New Roman"/>
          <w:sz w:val="24"/>
          <w:szCs w:val="24"/>
        </w:rPr>
        <w:t>8</w:t>
      </w:r>
      <w:r w:rsidRPr="004B3EB9">
        <w:rPr>
          <w:rFonts w:ascii="Times New Roman" w:hAnsi="Times New Roman"/>
          <w:sz w:val="24"/>
          <w:szCs w:val="24"/>
        </w:rPr>
        <w:t>)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hastalarla yürütülen bir </w:t>
      </w:r>
      <w:r w:rsidR="00594F00" w:rsidRPr="004B3EB9">
        <w:rPr>
          <w:rFonts w:ascii="Times New Roman" w:hAnsi="Times New Roman"/>
          <w:sz w:val="24"/>
          <w:szCs w:val="24"/>
        </w:rPr>
        <w:t>çalışma</w:t>
      </w:r>
      <w:r w:rsidRPr="004B3EB9">
        <w:rPr>
          <w:rFonts w:ascii="Times New Roman" w:hAnsi="Times New Roman"/>
          <w:sz w:val="24"/>
          <w:szCs w:val="24"/>
        </w:rPr>
        <w:t xml:space="preserve">da, maruz </w:t>
      </w:r>
      <w:r w:rsidR="004A2419" w:rsidRPr="004B3EB9">
        <w:rPr>
          <w:rFonts w:ascii="Times New Roman" w:hAnsi="Times New Roman"/>
          <w:sz w:val="24"/>
          <w:szCs w:val="24"/>
        </w:rPr>
        <w:t>kalınan</w:t>
      </w:r>
      <w:r w:rsidRPr="004B3EB9">
        <w:rPr>
          <w:rFonts w:ascii="Times New Roman" w:hAnsi="Times New Roman"/>
          <w:sz w:val="24"/>
          <w:szCs w:val="24"/>
        </w:rPr>
        <w:t xml:space="preserve"> ortalama imatinib (doz normalize EAA), böbrek </w:t>
      </w:r>
      <w:r w:rsidR="004A2419" w:rsidRPr="004B3EB9">
        <w:rPr>
          <w:rFonts w:ascii="Times New Roman" w:hAnsi="Times New Roman"/>
          <w:sz w:val="24"/>
          <w:szCs w:val="24"/>
        </w:rPr>
        <w:t>fonksiyonları</w:t>
      </w:r>
      <w:r w:rsidRPr="004B3EB9">
        <w:rPr>
          <w:rFonts w:ascii="Times New Roman" w:hAnsi="Times New Roman"/>
          <w:sz w:val="24"/>
          <w:szCs w:val="24"/>
        </w:rPr>
        <w:t xml:space="preserve"> normal olan hastalarla karş</w:t>
      </w:r>
      <w:r w:rsidR="004A2419" w:rsidRPr="004B3EB9">
        <w:rPr>
          <w:rFonts w:ascii="Times New Roman" w:hAnsi="Times New Roman"/>
          <w:sz w:val="24"/>
          <w:szCs w:val="24"/>
        </w:rPr>
        <w:t>ı</w:t>
      </w:r>
      <w:r w:rsidR="003176D1" w:rsidRPr="004B3EB9">
        <w:rPr>
          <w:rFonts w:ascii="Times New Roman" w:hAnsi="Times New Roman"/>
          <w:sz w:val="24"/>
          <w:szCs w:val="24"/>
        </w:rPr>
        <w:t>la</w:t>
      </w:r>
      <w:r w:rsidR="004A2419" w:rsidRPr="004B3EB9">
        <w:rPr>
          <w:rFonts w:ascii="Times New Roman" w:hAnsi="Times New Roman"/>
          <w:sz w:val="24"/>
          <w:szCs w:val="24"/>
        </w:rPr>
        <w:t>ştırıldığın</w:t>
      </w:r>
      <w:r w:rsidRPr="004B3EB9">
        <w:rPr>
          <w:rFonts w:ascii="Times New Roman" w:hAnsi="Times New Roman"/>
          <w:sz w:val="24"/>
          <w:szCs w:val="24"/>
        </w:rPr>
        <w:t xml:space="preserve">da </w:t>
      </w:r>
      <w:proofErr w:type="gramStart"/>
      <w:r w:rsidRPr="004B3EB9">
        <w:rPr>
          <w:rFonts w:ascii="Times New Roman" w:hAnsi="Times New Roman"/>
          <w:sz w:val="24"/>
          <w:szCs w:val="24"/>
        </w:rPr>
        <w:t>1.5</w:t>
      </w:r>
      <w:proofErr w:type="gramEnd"/>
      <w:r w:rsidRPr="004B3EB9">
        <w:rPr>
          <w:rFonts w:ascii="Times New Roman" w:hAnsi="Times New Roman"/>
          <w:sz w:val="24"/>
          <w:szCs w:val="24"/>
        </w:rPr>
        <w:t>-2 kat artmıştır, bu da, imatinibin güçlü bir biçimde bağlandığı bir protein olan AGP</w:t>
      </w:r>
      <w:r w:rsidR="00F54064">
        <w:rPr>
          <w:rFonts w:ascii="Times New Roman" w:hAnsi="Times New Roman"/>
          <w:sz w:val="24"/>
          <w:szCs w:val="24"/>
        </w:rPr>
        <w:t>’</w:t>
      </w:r>
      <w:r w:rsidRPr="004B3EB9">
        <w:rPr>
          <w:rFonts w:ascii="Times New Roman" w:hAnsi="Times New Roman"/>
          <w:sz w:val="24"/>
          <w:szCs w:val="24"/>
        </w:rPr>
        <w:t xml:space="preserve">nin plazma düzeyinde benzer bir artışa karşılık gelir. Maruz </w:t>
      </w:r>
      <w:r w:rsidR="004A2419" w:rsidRPr="004B3EB9">
        <w:rPr>
          <w:rFonts w:ascii="Times New Roman" w:hAnsi="Times New Roman"/>
          <w:sz w:val="24"/>
          <w:szCs w:val="24"/>
        </w:rPr>
        <w:t>kalınan</w:t>
      </w:r>
      <w:r w:rsidRPr="004B3EB9">
        <w:rPr>
          <w:rFonts w:ascii="Times New Roman" w:hAnsi="Times New Roman"/>
          <w:sz w:val="24"/>
          <w:szCs w:val="24"/>
        </w:rPr>
        <w:t xml:space="preserve"> imatinib </w:t>
      </w:r>
      <w:r w:rsidR="003176D1" w:rsidRPr="004B3EB9">
        <w:rPr>
          <w:rFonts w:ascii="Times New Roman" w:hAnsi="Times New Roman"/>
          <w:sz w:val="24"/>
          <w:szCs w:val="24"/>
        </w:rPr>
        <w:t>ile</w:t>
      </w:r>
      <w:r w:rsidRPr="004B3EB9">
        <w:rPr>
          <w:rFonts w:ascii="Times New Roman" w:hAnsi="Times New Roman"/>
          <w:sz w:val="24"/>
          <w:szCs w:val="24"/>
        </w:rPr>
        <w:t xml:space="preserve"> böbrek bozukluğunun şiddeti aras</w:t>
      </w:r>
      <w:r w:rsidR="004A2419" w:rsidRPr="004B3EB9">
        <w:rPr>
          <w:rFonts w:ascii="Times New Roman" w:hAnsi="Times New Roman"/>
          <w:sz w:val="24"/>
          <w:szCs w:val="24"/>
        </w:rPr>
        <w:t>ın</w:t>
      </w:r>
      <w:r w:rsidRPr="004B3EB9">
        <w:rPr>
          <w:rFonts w:ascii="Times New Roman" w:hAnsi="Times New Roman"/>
          <w:sz w:val="24"/>
          <w:szCs w:val="24"/>
        </w:rPr>
        <w:t xml:space="preserve">da hiçbir </w:t>
      </w:r>
      <w:proofErr w:type="gramStart"/>
      <w:r w:rsidRPr="004B3EB9">
        <w:rPr>
          <w:rFonts w:ascii="Times New Roman" w:hAnsi="Times New Roman"/>
          <w:sz w:val="24"/>
          <w:szCs w:val="24"/>
        </w:rPr>
        <w:t>korelasyon</w:t>
      </w:r>
      <w:proofErr w:type="gramEnd"/>
      <w:r w:rsidRPr="004B3EB9">
        <w:rPr>
          <w:rFonts w:ascii="Times New Roman" w:hAnsi="Times New Roman"/>
          <w:sz w:val="24"/>
          <w:szCs w:val="24"/>
        </w:rPr>
        <w:t xml:space="preserve"> gözlemlenmemiştir. Bu </w:t>
      </w:r>
      <w:r w:rsidR="00594F00" w:rsidRPr="004B3EB9">
        <w:rPr>
          <w:rFonts w:ascii="Times New Roman" w:hAnsi="Times New Roman"/>
          <w:sz w:val="24"/>
          <w:szCs w:val="24"/>
        </w:rPr>
        <w:t>çalışma</w:t>
      </w:r>
      <w:r w:rsidRPr="004B3EB9">
        <w:rPr>
          <w:rFonts w:ascii="Times New Roman" w:hAnsi="Times New Roman"/>
          <w:sz w:val="24"/>
          <w:szCs w:val="24"/>
        </w:rPr>
        <w:t>da, hafif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günlük 800 mg ve orta düzeyde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günlük 600 mg güvenle </w:t>
      </w:r>
      <w:r w:rsidR="00594F00" w:rsidRPr="004B3EB9">
        <w:rPr>
          <w:rFonts w:ascii="Times New Roman" w:hAnsi="Times New Roman"/>
          <w:sz w:val="24"/>
          <w:szCs w:val="24"/>
        </w:rPr>
        <w:t>kull</w:t>
      </w:r>
      <w:r w:rsidRPr="004B3EB9">
        <w:rPr>
          <w:rFonts w:ascii="Times New Roman" w:hAnsi="Times New Roman"/>
          <w:sz w:val="24"/>
          <w:szCs w:val="24"/>
        </w:rPr>
        <w:t>an</w:t>
      </w:r>
      <w:r w:rsidR="004A2419" w:rsidRPr="004B3EB9">
        <w:rPr>
          <w:rFonts w:ascii="Times New Roman" w:hAnsi="Times New Roman"/>
          <w:sz w:val="24"/>
          <w:szCs w:val="24"/>
        </w:rPr>
        <w:t>ıl</w:t>
      </w:r>
      <w:r w:rsidRPr="004B3EB9">
        <w:rPr>
          <w:rFonts w:ascii="Times New Roman" w:hAnsi="Times New Roman"/>
          <w:sz w:val="24"/>
          <w:szCs w:val="24"/>
        </w:rPr>
        <w:t>mıştır. Sınır</w:t>
      </w:r>
      <w:r w:rsidR="004A2419" w:rsidRPr="004B3EB9">
        <w:rPr>
          <w:rFonts w:ascii="Times New Roman" w:hAnsi="Times New Roman"/>
          <w:sz w:val="24"/>
          <w:szCs w:val="24"/>
        </w:rPr>
        <w:t>lı</w:t>
      </w:r>
      <w:r w:rsidRPr="004B3EB9">
        <w:rPr>
          <w:rFonts w:ascii="Times New Roman" w:hAnsi="Times New Roman"/>
          <w:sz w:val="24"/>
          <w:szCs w:val="24"/>
        </w:rPr>
        <w:t xml:space="preserve"> sayıda hasta kayded</w:t>
      </w:r>
      <w:r w:rsidR="004A2419" w:rsidRPr="004B3EB9">
        <w:rPr>
          <w:rFonts w:ascii="Times New Roman" w:hAnsi="Times New Roman"/>
          <w:sz w:val="24"/>
          <w:szCs w:val="24"/>
        </w:rPr>
        <w:t>il</w:t>
      </w:r>
      <w:r w:rsidRPr="004B3EB9">
        <w:rPr>
          <w:rFonts w:ascii="Times New Roman" w:hAnsi="Times New Roman"/>
          <w:sz w:val="24"/>
          <w:szCs w:val="24"/>
        </w:rPr>
        <w:t>diği için orta düzeyde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w:t>
      </w:r>
      <w:r w:rsidR="004A2419" w:rsidRPr="004B3EB9">
        <w:rPr>
          <w:rFonts w:ascii="Times New Roman" w:hAnsi="Times New Roman"/>
          <w:sz w:val="24"/>
          <w:szCs w:val="24"/>
        </w:rPr>
        <w:t>arda günlük 800 mg dozu test edil</w:t>
      </w:r>
      <w:r w:rsidRPr="004B3EB9">
        <w:rPr>
          <w:rFonts w:ascii="Times New Roman" w:hAnsi="Times New Roman"/>
          <w:sz w:val="24"/>
          <w:szCs w:val="24"/>
        </w:rPr>
        <w:t>memiştir. Ay</w:t>
      </w:r>
      <w:r w:rsidR="004A2419" w:rsidRPr="004B3EB9">
        <w:rPr>
          <w:rFonts w:ascii="Times New Roman" w:hAnsi="Times New Roman"/>
          <w:sz w:val="24"/>
          <w:szCs w:val="24"/>
        </w:rPr>
        <w:t>nı</w:t>
      </w:r>
      <w:r w:rsidRPr="004B3EB9">
        <w:rPr>
          <w:rFonts w:ascii="Times New Roman" w:hAnsi="Times New Roman"/>
          <w:sz w:val="24"/>
          <w:szCs w:val="24"/>
        </w:rPr>
        <w:t xml:space="preserve"> şek</w:t>
      </w:r>
      <w:r w:rsidR="004A2419" w:rsidRPr="004B3EB9">
        <w:rPr>
          <w:rFonts w:ascii="Times New Roman" w:hAnsi="Times New Roman"/>
          <w:sz w:val="24"/>
          <w:szCs w:val="24"/>
        </w:rPr>
        <w:t>il</w:t>
      </w:r>
      <w:r w:rsidRPr="004B3EB9">
        <w:rPr>
          <w:rFonts w:ascii="Times New Roman" w:hAnsi="Times New Roman"/>
          <w:sz w:val="24"/>
          <w:szCs w:val="24"/>
        </w:rPr>
        <w:t>de, şiddetli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yalnızca 2 hasta düşük (100 mg) doza kaydedilmiş ve daha </w:t>
      </w:r>
      <w:r w:rsidR="004A2419" w:rsidRPr="004B3EB9">
        <w:rPr>
          <w:rFonts w:ascii="Times New Roman" w:hAnsi="Times New Roman"/>
          <w:sz w:val="24"/>
          <w:szCs w:val="24"/>
        </w:rPr>
        <w:t>yüksek dozların hiçbiri test edil</w:t>
      </w:r>
      <w:r w:rsidRPr="004B3EB9">
        <w:rPr>
          <w:rFonts w:ascii="Times New Roman" w:hAnsi="Times New Roman"/>
          <w:sz w:val="24"/>
          <w:szCs w:val="24"/>
        </w:rPr>
        <w:t>memiştir. Ça</w:t>
      </w:r>
      <w:r w:rsidR="004A2419" w:rsidRPr="004B3EB9">
        <w:rPr>
          <w:rFonts w:ascii="Times New Roman" w:hAnsi="Times New Roman"/>
          <w:sz w:val="24"/>
          <w:szCs w:val="24"/>
        </w:rPr>
        <w:t>lı</w:t>
      </w:r>
      <w:r w:rsidRPr="004B3EB9">
        <w:rPr>
          <w:rFonts w:ascii="Times New Roman" w:hAnsi="Times New Roman"/>
          <w:sz w:val="24"/>
          <w:szCs w:val="24"/>
        </w:rPr>
        <w:t xml:space="preserve">şmaya hiçbir hemodiyaliz hastası </w:t>
      </w:r>
      <w:r w:rsidR="004A2419" w:rsidRPr="004B3EB9">
        <w:rPr>
          <w:rFonts w:ascii="Times New Roman" w:hAnsi="Times New Roman"/>
          <w:sz w:val="24"/>
          <w:szCs w:val="24"/>
        </w:rPr>
        <w:t>kaydedil</w:t>
      </w:r>
      <w:r w:rsidRPr="004B3EB9">
        <w:rPr>
          <w:rFonts w:ascii="Times New Roman" w:hAnsi="Times New Roman"/>
          <w:sz w:val="24"/>
          <w:szCs w:val="24"/>
        </w:rPr>
        <w:t>memişt</w:t>
      </w:r>
      <w:r w:rsidR="004A2419" w:rsidRPr="004B3EB9">
        <w:rPr>
          <w:rFonts w:ascii="Times New Roman" w:hAnsi="Times New Roman"/>
          <w:sz w:val="24"/>
          <w:szCs w:val="24"/>
        </w:rPr>
        <w:t>ir</w:t>
      </w:r>
      <w:r w:rsidRPr="004B3EB9">
        <w:rPr>
          <w:rFonts w:ascii="Times New Roman" w:hAnsi="Times New Roman"/>
          <w:sz w:val="24"/>
          <w:szCs w:val="24"/>
        </w:rPr>
        <w:t>. Literatür ver</w:t>
      </w:r>
      <w:r w:rsidR="003176D1" w:rsidRPr="004B3EB9">
        <w:rPr>
          <w:rFonts w:ascii="Times New Roman" w:hAnsi="Times New Roman"/>
          <w:sz w:val="24"/>
          <w:szCs w:val="24"/>
        </w:rPr>
        <w:t>ile</w:t>
      </w:r>
      <w:r w:rsidR="004A2419" w:rsidRPr="004B3EB9">
        <w:rPr>
          <w:rFonts w:ascii="Times New Roman" w:hAnsi="Times New Roman"/>
          <w:sz w:val="24"/>
          <w:szCs w:val="24"/>
        </w:rPr>
        <w:t>ri, son evre böbrek hastalı</w:t>
      </w:r>
      <w:r w:rsidRPr="004B3EB9">
        <w:rPr>
          <w:rFonts w:ascii="Times New Roman" w:hAnsi="Times New Roman"/>
          <w:sz w:val="24"/>
          <w:szCs w:val="24"/>
        </w:rPr>
        <w:t>ğı olan ve hemodiyaliz uygulanan bir kişide günlük</w:t>
      </w:r>
      <w:r w:rsidR="004A2419" w:rsidRPr="004B3EB9">
        <w:rPr>
          <w:rFonts w:ascii="Times New Roman" w:hAnsi="Times New Roman"/>
          <w:sz w:val="24"/>
          <w:szCs w:val="24"/>
        </w:rPr>
        <w:t xml:space="preserve"> 400 mg dozun çok iyi tolere edil</w:t>
      </w:r>
      <w:r w:rsidRPr="004B3EB9">
        <w:rPr>
          <w:rFonts w:ascii="Times New Roman" w:hAnsi="Times New Roman"/>
          <w:sz w:val="24"/>
          <w:szCs w:val="24"/>
        </w:rPr>
        <w:t>diğini göstermiştir. Diyaliz, imati</w:t>
      </w:r>
      <w:r w:rsidR="00785E9D" w:rsidRPr="004B3EB9">
        <w:rPr>
          <w:rFonts w:ascii="Times New Roman" w:hAnsi="Times New Roman"/>
          <w:sz w:val="24"/>
          <w:szCs w:val="24"/>
        </w:rPr>
        <w:t>nibin plazma kinetiklerini engell</w:t>
      </w:r>
      <w:r w:rsidRPr="004B3EB9">
        <w:rPr>
          <w:rFonts w:ascii="Times New Roman" w:hAnsi="Times New Roman"/>
          <w:sz w:val="24"/>
          <w:szCs w:val="24"/>
        </w:rPr>
        <w:t>ememişt</w:t>
      </w:r>
      <w:r w:rsidR="00785E9D" w:rsidRPr="004B3EB9">
        <w:rPr>
          <w:rFonts w:ascii="Times New Roman" w:hAnsi="Times New Roman"/>
          <w:sz w:val="24"/>
          <w:szCs w:val="24"/>
        </w:rPr>
        <w:t>ir</w:t>
      </w:r>
      <w:r w:rsidR="004A2419" w:rsidRPr="004B3EB9">
        <w:rPr>
          <w:rFonts w:ascii="Times New Roman" w:hAnsi="Times New Roman"/>
          <w:sz w:val="24"/>
          <w:szCs w:val="24"/>
        </w:rPr>
        <w:t>. Böbrekler yoluyla atılı</w:t>
      </w:r>
      <w:r w:rsidRPr="004B3EB9">
        <w:rPr>
          <w:rFonts w:ascii="Times New Roman" w:hAnsi="Times New Roman"/>
          <w:sz w:val="24"/>
          <w:szCs w:val="24"/>
        </w:rPr>
        <w:t xml:space="preserve">m imatinib için minör bir </w:t>
      </w:r>
      <w:proofErr w:type="gramStart"/>
      <w:r w:rsidRPr="004B3EB9">
        <w:rPr>
          <w:rFonts w:ascii="Times New Roman" w:hAnsi="Times New Roman"/>
          <w:sz w:val="24"/>
          <w:szCs w:val="24"/>
        </w:rPr>
        <w:t>eliminasyon</w:t>
      </w:r>
      <w:proofErr w:type="gramEnd"/>
      <w:r w:rsidRPr="004B3EB9">
        <w:rPr>
          <w:rFonts w:ascii="Times New Roman" w:hAnsi="Times New Roman"/>
          <w:sz w:val="24"/>
          <w:szCs w:val="24"/>
        </w:rPr>
        <w:t xml:space="preserve"> yolu olduğundan, </w:t>
      </w:r>
      <w:r w:rsidR="00785E9D" w:rsidRPr="004B3EB9">
        <w:rPr>
          <w:rFonts w:ascii="Times New Roman" w:hAnsi="Times New Roman"/>
          <w:sz w:val="24"/>
          <w:szCs w:val="24"/>
        </w:rPr>
        <w:t>şiddetli</w:t>
      </w:r>
      <w:r w:rsidRPr="004B3EB9">
        <w:rPr>
          <w:rFonts w:ascii="Times New Roman" w:hAnsi="Times New Roman"/>
          <w:sz w:val="24"/>
          <w:szCs w:val="24"/>
        </w:rPr>
        <w:t xml:space="preserve">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ve diya</w:t>
      </w:r>
      <w:r w:rsidR="004A2419" w:rsidRPr="004B3EB9">
        <w:rPr>
          <w:rFonts w:ascii="Times New Roman" w:hAnsi="Times New Roman"/>
          <w:sz w:val="24"/>
          <w:szCs w:val="24"/>
        </w:rPr>
        <w:t>li</w:t>
      </w:r>
      <w:r w:rsidRPr="004B3EB9">
        <w:rPr>
          <w:rFonts w:ascii="Times New Roman" w:hAnsi="Times New Roman"/>
          <w:sz w:val="24"/>
          <w:szCs w:val="24"/>
        </w:rPr>
        <w:t>z uygulanan hastalara 400 mg</w:t>
      </w:r>
      <w:r w:rsidR="00F54064">
        <w:rPr>
          <w:rFonts w:ascii="Times New Roman" w:hAnsi="Times New Roman"/>
          <w:sz w:val="24"/>
          <w:szCs w:val="24"/>
        </w:rPr>
        <w:t>’</w:t>
      </w:r>
      <w:r w:rsidR="004A2419" w:rsidRPr="004B3EB9">
        <w:rPr>
          <w:rFonts w:ascii="Times New Roman" w:hAnsi="Times New Roman"/>
          <w:sz w:val="24"/>
          <w:szCs w:val="24"/>
        </w:rPr>
        <w:t>lı</w:t>
      </w:r>
      <w:r w:rsidRPr="004B3EB9">
        <w:rPr>
          <w:rFonts w:ascii="Times New Roman" w:hAnsi="Times New Roman"/>
          <w:sz w:val="24"/>
          <w:szCs w:val="24"/>
        </w:rPr>
        <w:t xml:space="preserve">k başlangıç dozu </w:t>
      </w:r>
      <w:r w:rsidR="003176D1" w:rsidRPr="004B3EB9">
        <w:rPr>
          <w:rFonts w:ascii="Times New Roman" w:hAnsi="Times New Roman"/>
          <w:sz w:val="24"/>
          <w:szCs w:val="24"/>
        </w:rPr>
        <w:t>ile</w:t>
      </w:r>
      <w:r w:rsidRPr="004B3EB9">
        <w:rPr>
          <w:rFonts w:ascii="Times New Roman" w:hAnsi="Times New Roman"/>
          <w:sz w:val="24"/>
          <w:szCs w:val="24"/>
        </w:rPr>
        <w:t xml:space="preserve"> tedavi uygulanabilmektedir. Ancak, bu hastalarda dikkat</w:t>
      </w:r>
      <w:r w:rsidR="004A2419" w:rsidRPr="004B3EB9">
        <w:rPr>
          <w:rFonts w:ascii="Times New Roman" w:hAnsi="Times New Roman"/>
          <w:sz w:val="24"/>
          <w:szCs w:val="24"/>
        </w:rPr>
        <w:t>li</w:t>
      </w:r>
      <w:r w:rsidRPr="004B3EB9">
        <w:rPr>
          <w:rFonts w:ascii="Times New Roman" w:hAnsi="Times New Roman"/>
          <w:sz w:val="24"/>
          <w:szCs w:val="24"/>
        </w:rPr>
        <w:t xml:space="preserve"> olunması önerilmektedir. Tolere ed</w:t>
      </w:r>
      <w:r w:rsidR="004A2419" w:rsidRPr="004B3EB9">
        <w:rPr>
          <w:rFonts w:ascii="Times New Roman" w:hAnsi="Times New Roman"/>
          <w:sz w:val="24"/>
          <w:szCs w:val="24"/>
        </w:rPr>
        <w:t>il</w:t>
      </w:r>
      <w:r w:rsidRPr="004B3EB9">
        <w:rPr>
          <w:rFonts w:ascii="Times New Roman" w:hAnsi="Times New Roman"/>
          <w:sz w:val="24"/>
          <w:szCs w:val="24"/>
        </w:rPr>
        <w:t>ememesi halinde doz azaltılabilir ya da etki görülmemesi halinde doz arttı</w:t>
      </w:r>
      <w:r w:rsidR="004A2419" w:rsidRPr="004B3EB9">
        <w:rPr>
          <w:rFonts w:ascii="Times New Roman" w:hAnsi="Times New Roman"/>
          <w:sz w:val="24"/>
          <w:szCs w:val="24"/>
        </w:rPr>
        <w:t>rı</w:t>
      </w:r>
      <w:r w:rsidRPr="004B3EB9">
        <w:rPr>
          <w:rFonts w:ascii="Times New Roman" w:hAnsi="Times New Roman"/>
          <w:sz w:val="24"/>
          <w:szCs w:val="24"/>
        </w:rPr>
        <w:t>labi</w:t>
      </w:r>
      <w:r w:rsidR="004A2419" w:rsidRPr="004B3EB9">
        <w:rPr>
          <w:rFonts w:ascii="Times New Roman" w:hAnsi="Times New Roman"/>
          <w:sz w:val="24"/>
          <w:szCs w:val="24"/>
        </w:rPr>
        <w:t>li</w:t>
      </w:r>
      <w:r w:rsidRPr="004B3EB9">
        <w:rPr>
          <w:rFonts w:ascii="Times New Roman" w:hAnsi="Times New Roman"/>
          <w:sz w:val="24"/>
          <w:szCs w:val="24"/>
        </w:rPr>
        <w:t xml:space="preserve">r (bkz. </w:t>
      </w:r>
      <w:proofErr w:type="gramStart"/>
      <w:r w:rsidRPr="004B3EB9">
        <w:rPr>
          <w:rFonts w:ascii="Times New Roman" w:hAnsi="Times New Roman"/>
          <w:sz w:val="24"/>
          <w:szCs w:val="24"/>
        </w:rPr>
        <w:t>4.2</w:t>
      </w:r>
      <w:proofErr w:type="gramEnd"/>
      <w:r w:rsidRPr="004B3EB9">
        <w:rPr>
          <w:rFonts w:ascii="Times New Roman" w:hAnsi="Times New Roman"/>
          <w:sz w:val="24"/>
          <w:szCs w:val="24"/>
        </w:rPr>
        <w:t xml:space="preserve"> Pozoloji ve uygulama şek</w:t>
      </w:r>
      <w:r w:rsidR="004A2419" w:rsidRPr="004B3EB9">
        <w:rPr>
          <w:rFonts w:ascii="Times New Roman" w:hAnsi="Times New Roman"/>
          <w:sz w:val="24"/>
          <w:szCs w:val="24"/>
        </w:rPr>
        <w:t>li</w:t>
      </w:r>
      <w:r w:rsidRPr="004B3EB9">
        <w:rPr>
          <w:rFonts w:ascii="Times New Roman" w:hAnsi="Times New Roman"/>
          <w:sz w:val="24"/>
          <w:szCs w:val="24"/>
        </w:rPr>
        <w:t xml:space="preserve">; 4.4 Özel kullanım </w:t>
      </w:r>
      <w:r w:rsidR="008E32E3" w:rsidRPr="004B3EB9">
        <w:rPr>
          <w:rFonts w:ascii="Times New Roman" w:hAnsi="Times New Roman"/>
          <w:sz w:val="24"/>
          <w:szCs w:val="24"/>
        </w:rPr>
        <w:t>uyarıları</w:t>
      </w:r>
      <w:r w:rsidRPr="004B3EB9">
        <w:rPr>
          <w:rFonts w:ascii="Times New Roman" w:hAnsi="Times New Roman"/>
          <w:sz w:val="24"/>
          <w:szCs w:val="24"/>
        </w:rPr>
        <w:t xml:space="preserve"> ve önlemleri ve 5.2 Farmakokinetik özellikler bölümleri).</w:t>
      </w:r>
    </w:p>
    <w:p w:rsidR="0006573B" w:rsidRPr="004B3EB9" w:rsidRDefault="0006573B" w:rsidP="00C86B5D">
      <w:pPr>
        <w:spacing w:after="0"/>
        <w:jc w:val="both"/>
        <w:rPr>
          <w:rFonts w:ascii="Times New Roman" w:hAnsi="Times New Roman"/>
          <w:sz w:val="24"/>
          <w:szCs w:val="24"/>
        </w:rPr>
      </w:pPr>
    </w:p>
    <w:tbl>
      <w:tblPr>
        <w:tblW w:w="8440" w:type="dxa"/>
        <w:tblInd w:w="57" w:type="dxa"/>
        <w:tblCellMar>
          <w:left w:w="70" w:type="dxa"/>
          <w:right w:w="70" w:type="dxa"/>
        </w:tblCellMar>
        <w:tblLook w:val="04A0"/>
      </w:tblPr>
      <w:tblGrid>
        <w:gridCol w:w="5100"/>
        <w:gridCol w:w="3340"/>
      </w:tblGrid>
      <w:tr w:rsidR="004A2419" w:rsidRPr="004B3EB9" w:rsidTr="004A2419">
        <w:trPr>
          <w:trHeight w:val="315"/>
        </w:trPr>
        <w:tc>
          <w:tcPr>
            <w:tcW w:w="5100" w:type="dxa"/>
            <w:tcBorders>
              <w:top w:val="nil"/>
              <w:left w:val="nil"/>
              <w:bottom w:val="nil"/>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 xml:space="preserve">Tablo </w:t>
            </w:r>
            <w:proofErr w:type="gramStart"/>
            <w:r w:rsidR="005279EC" w:rsidRPr="004B3EB9">
              <w:rPr>
                <w:rFonts w:ascii="Times New Roman" w:eastAsia="Times New Roman" w:hAnsi="Times New Roman"/>
                <w:b/>
                <w:bCs/>
                <w:sz w:val="20"/>
                <w:szCs w:val="20"/>
                <w:lang w:eastAsia="tr-TR"/>
              </w:rPr>
              <w:t>8</w:t>
            </w:r>
            <w:r w:rsidRPr="004B3EB9">
              <w:rPr>
                <w:rFonts w:ascii="Times New Roman" w:eastAsia="Times New Roman" w:hAnsi="Times New Roman"/>
                <w:b/>
                <w:bCs/>
                <w:sz w:val="20"/>
                <w:szCs w:val="20"/>
                <w:lang w:eastAsia="tr-TR"/>
              </w:rPr>
              <w:t xml:space="preserve">       Böbrek</w:t>
            </w:r>
            <w:proofErr w:type="gramEnd"/>
            <w:r w:rsidRPr="004B3EB9">
              <w:rPr>
                <w:rFonts w:ascii="Times New Roman" w:eastAsia="Times New Roman" w:hAnsi="Times New Roman"/>
                <w:b/>
                <w:bCs/>
                <w:sz w:val="20"/>
                <w:szCs w:val="20"/>
                <w:lang w:eastAsia="tr-TR"/>
              </w:rPr>
              <w:t xml:space="preserve"> fonksiyonu sınıflandırması</w:t>
            </w:r>
          </w:p>
        </w:tc>
        <w:tc>
          <w:tcPr>
            <w:tcW w:w="3340" w:type="dxa"/>
            <w:tcBorders>
              <w:top w:val="nil"/>
              <w:left w:val="nil"/>
              <w:bottom w:val="nil"/>
              <w:right w:val="nil"/>
            </w:tcBorders>
            <w:shd w:val="clear" w:color="auto" w:fill="auto"/>
            <w:noWrap/>
            <w:vAlign w:val="bottom"/>
            <w:hideMark/>
          </w:tcPr>
          <w:p w:rsidR="004A2419" w:rsidRPr="004B3EB9" w:rsidRDefault="004A2419" w:rsidP="00C86B5D">
            <w:pPr>
              <w:spacing w:after="0"/>
              <w:rPr>
                <w:rFonts w:eastAsia="Times New Roman"/>
                <w:sz w:val="20"/>
                <w:szCs w:val="20"/>
                <w:lang w:eastAsia="tr-TR"/>
              </w:rPr>
            </w:pPr>
          </w:p>
        </w:tc>
      </w:tr>
      <w:tr w:rsidR="004A2419" w:rsidRPr="004B3EB9" w:rsidTr="004A2419">
        <w:trPr>
          <w:trHeight w:val="315"/>
        </w:trPr>
        <w:tc>
          <w:tcPr>
            <w:tcW w:w="5100" w:type="dxa"/>
            <w:tcBorders>
              <w:top w:val="single" w:sz="4" w:space="0" w:color="auto"/>
              <w:left w:val="nil"/>
              <w:bottom w:val="single" w:sz="4" w:space="0" w:color="auto"/>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Böbrek yetersizliği</w:t>
            </w:r>
          </w:p>
        </w:tc>
        <w:tc>
          <w:tcPr>
            <w:tcW w:w="3340" w:type="dxa"/>
            <w:tcBorders>
              <w:top w:val="single" w:sz="4" w:space="0" w:color="auto"/>
              <w:left w:val="nil"/>
              <w:bottom w:val="single" w:sz="4" w:space="0" w:color="auto"/>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Böbrek fonksiyon testleri</w:t>
            </w:r>
          </w:p>
        </w:tc>
      </w:tr>
      <w:tr w:rsidR="004A2419" w:rsidRPr="004B3EB9" w:rsidTr="004A2419">
        <w:trPr>
          <w:trHeight w:val="315"/>
        </w:trPr>
        <w:tc>
          <w:tcPr>
            <w:tcW w:w="5100" w:type="dxa"/>
            <w:tcBorders>
              <w:top w:val="nil"/>
              <w:left w:val="nil"/>
              <w:bottom w:val="nil"/>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Hafif</w:t>
            </w:r>
          </w:p>
        </w:tc>
        <w:tc>
          <w:tcPr>
            <w:tcW w:w="3340" w:type="dxa"/>
            <w:tcBorders>
              <w:top w:val="nil"/>
              <w:left w:val="nil"/>
              <w:bottom w:val="nil"/>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CrCL = 40-59 mL/dakika</w:t>
            </w:r>
          </w:p>
        </w:tc>
      </w:tr>
      <w:tr w:rsidR="004A2419" w:rsidRPr="004B3EB9" w:rsidTr="004A2419">
        <w:trPr>
          <w:trHeight w:val="315"/>
        </w:trPr>
        <w:tc>
          <w:tcPr>
            <w:tcW w:w="5100" w:type="dxa"/>
            <w:tcBorders>
              <w:top w:val="nil"/>
              <w:left w:val="nil"/>
              <w:bottom w:val="nil"/>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Orta</w:t>
            </w:r>
          </w:p>
        </w:tc>
        <w:tc>
          <w:tcPr>
            <w:tcW w:w="3340" w:type="dxa"/>
            <w:tcBorders>
              <w:top w:val="nil"/>
              <w:left w:val="nil"/>
              <w:bottom w:val="nil"/>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CrCL = 20-39 mL/dakika</w:t>
            </w:r>
          </w:p>
        </w:tc>
      </w:tr>
      <w:tr w:rsidR="004A2419" w:rsidRPr="004B3EB9" w:rsidTr="004A2419">
        <w:trPr>
          <w:trHeight w:val="315"/>
        </w:trPr>
        <w:tc>
          <w:tcPr>
            <w:tcW w:w="5100" w:type="dxa"/>
            <w:tcBorders>
              <w:top w:val="nil"/>
              <w:left w:val="nil"/>
              <w:bottom w:val="single" w:sz="4" w:space="0" w:color="auto"/>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Şiddetli</w:t>
            </w:r>
          </w:p>
        </w:tc>
        <w:tc>
          <w:tcPr>
            <w:tcW w:w="3340" w:type="dxa"/>
            <w:tcBorders>
              <w:top w:val="nil"/>
              <w:left w:val="nil"/>
              <w:bottom w:val="single" w:sz="4" w:space="0" w:color="auto"/>
              <w:right w:val="nil"/>
            </w:tcBorders>
            <w:shd w:val="clear" w:color="auto" w:fill="auto"/>
            <w:noWrap/>
            <w:vAlign w:val="bottom"/>
            <w:hideMark/>
          </w:tcPr>
          <w:p w:rsidR="004A2419" w:rsidRPr="004B3EB9" w:rsidRDefault="004A2419" w:rsidP="00C86B5D">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CrCL = &lt; 20 mL/dakika</w:t>
            </w:r>
          </w:p>
        </w:tc>
      </w:tr>
    </w:tbl>
    <w:p w:rsidR="00396DF1" w:rsidRPr="004B3EB9" w:rsidRDefault="00396DF1" w:rsidP="00C86B5D">
      <w:pPr>
        <w:spacing w:after="0"/>
        <w:jc w:val="both"/>
        <w:rPr>
          <w:rFonts w:ascii="Times New Roman" w:hAnsi="Times New Roman"/>
          <w:sz w:val="20"/>
          <w:szCs w:val="20"/>
        </w:rPr>
      </w:pPr>
      <w:r w:rsidRPr="004B3EB9">
        <w:rPr>
          <w:rFonts w:ascii="Times New Roman" w:hAnsi="Times New Roman"/>
          <w:sz w:val="20"/>
          <w:szCs w:val="20"/>
        </w:rPr>
        <w:t>CrCL = Kreatinin Klerensi</w:t>
      </w:r>
    </w:p>
    <w:p w:rsidR="004A2419" w:rsidRPr="004B3EB9" w:rsidRDefault="004A2419" w:rsidP="00C86B5D">
      <w:pPr>
        <w:spacing w:after="0"/>
        <w:jc w:val="both"/>
        <w:rPr>
          <w:rFonts w:ascii="Times New Roman" w:hAnsi="Times New Roman"/>
          <w:sz w:val="20"/>
          <w:szCs w:val="20"/>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5.2.</w:t>
      </w:r>
      <w:r w:rsidR="00791617" w:rsidRPr="004B3EB9">
        <w:rPr>
          <w:rFonts w:ascii="Times New Roman" w:hAnsi="Times New Roman"/>
          <w:b/>
          <w:bCs/>
          <w:sz w:val="24"/>
          <w:szCs w:val="24"/>
        </w:rPr>
        <w:t xml:space="preserve"> </w:t>
      </w:r>
      <w:r w:rsidRPr="004B3EB9">
        <w:rPr>
          <w:rFonts w:ascii="Times New Roman" w:hAnsi="Times New Roman"/>
          <w:b/>
          <w:bCs/>
          <w:sz w:val="24"/>
          <w:szCs w:val="24"/>
        </w:rPr>
        <w:t>Farmakokinetik özellikler</w:t>
      </w:r>
    </w:p>
    <w:p w:rsidR="00396DF1" w:rsidRPr="004B3EB9" w:rsidRDefault="00141666" w:rsidP="00C86B5D">
      <w:pPr>
        <w:spacing w:after="0"/>
        <w:jc w:val="both"/>
        <w:rPr>
          <w:rFonts w:ascii="Times New Roman" w:hAnsi="Times New Roman"/>
          <w:sz w:val="24"/>
          <w:szCs w:val="24"/>
        </w:rPr>
      </w:pPr>
      <w:r w:rsidRPr="004B3EB9">
        <w:rPr>
          <w:rFonts w:ascii="Times New Roman" w:hAnsi="Times New Roman"/>
          <w:sz w:val="24"/>
          <w:szCs w:val="24"/>
        </w:rPr>
        <w:t>İmatinibin</w:t>
      </w:r>
      <w:r w:rsidR="005D0157" w:rsidRPr="004B3EB9">
        <w:rPr>
          <w:rFonts w:ascii="Times New Roman" w:hAnsi="Times New Roman"/>
          <w:sz w:val="24"/>
          <w:szCs w:val="24"/>
        </w:rPr>
        <w:t xml:space="preserve"> </w:t>
      </w:r>
      <w:r w:rsidR="00396DF1" w:rsidRPr="004B3EB9">
        <w:rPr>
          <w:rFonts w:ascii="Times New Roman" w:hAnsi="Times New Roman"/>
          <w:sz w:val="24"/>
          <w:szCs w:val="24"/>
        </w:rPr>
        <w:t>farmakokinetiği 25 - 1000 mg</w:t>
      </w:r>
      <w:r w:rsidR="00F54064">
        <w:rPr>
          <w:rFonts w:ascii="Times New Roman" w:hAnsi="Times New Roman"/>
          <w:sz w:val="24"/>
          <w:szCs w:val="24"/>
        </w:rPr>
        <w:t>’</w:t>
      </w:r>
      <w:r w:rsidR="004A2419" w:rsidRPr="004B3EB9">
        <w:rPr>
          <w:rFonts w:ascii="Times New Roman" w:hAnsi="Times New Roman"/>
          <w:sz w:val="24"/>
          <w:szCs w:val="24"/>
        </w:rPr>
        <w:t>lı</w:t>
      </w:r>
      <w:r w:rsidR="00396DF1" w:rsidRPr="004B3EB9">
        <w:rPr>
          <w:rFonts w:ascii="Times New Roman" w:hAnsi="Times New Roman"/>
          <w:sz w:val="24"/>
          <w:szCs w:val="24"/>
        </w:rPr>
        <w:t>k bir doz ara</w:t>
      </w:r>
      <w:r w:rsidR="004A2419" w:rsidRPr="004B3EB9">
        <w:rPr>
          <w:rFonts w:ascii="Times New Roman" w:hAnsi="Times New Roman"/>
          <w:sz w:val="24"/>
          <w:szCs w:val="24"/>
        </w:rPr>
        <w:t>lı</w:t>
      </w:r>
      <w:r w:rsidR="00396DF1" w:rsidRPr="004B3EB9">
        <w:rPr>
          <w:rFonts w:ascii="Times New Roman" w:hAnsi="Times New Roman"/>
          <w:sz w:val="24"/>
          <w:szCs w:val="24"/>
        </w:rPr>
        <w:t>ğında değerlendiri</w:t>
      </w:r>
      <w:r w:rsidR="004A2419" w:rsidRPr="004B3EB9">
        <w:rPr>
          <w:rFonts w:ascii="Times New Roman" w:hAnsi="Times New Roman"/>
          <w:sz w:val="24"/>
          <w:szCs w:val="24"/>
        </w:rPr>
        <w:t>lm</w:t>
      </w:r>
      <w:r w:rsidR="00396DF1" w:rsidRPr="004B3EB9">
        <w:rPr>
          <w:rFonts w:ascii="Times New Roman" w:hAnsi="Times New Roman"/>
          <w:sz w:val="24"/>
          <w:szCs w:val="24"/>
        </w:rPr>
        <w:t xml:space="preserve">iştir. Plazma farmakokinetik </w:t>
      </w:r>
      <w:proofErr w:type="gramStart"/>
      <w:r w:rsidR="00396DF1" w:rsidRPr="004B3EB9">
        <w:rPr>
          <w:rFonts w:ascii="Times New Roman" w:hAnsi="Times New Roman"/>
          <w:sz w:val="24"/>
          <w:szCs w:val="24"/>
        </w:rPr>
        <w:t>prof</w:t>
      </w:r>
      <w:r w:rsidR="004A2419" w:rsidRPr="004B3EB9">
        <w:rPr>
          <w:rFonts w:ascii="Times New Roman" w:hAnsi="Times New Roman"/>
          <w:sz w:val="24"/>
          <w:szCs w:val="24"/>
        </w:rPr>
        <w:t>illeri</w:t>
      </w:r>
      <w:proofErr w:type="gramEnd"/>
      <w:r w:rsidR="00396DF1" w:rsidRPr="004B3EB9">
        <w:rPr>
          <w:rFonts w:ascii="Times New Roman" w:hAnsi="Times New Roman"/>
          <w:sz w:val="24"/>
          <w:szCs w:val="24"/>
        </w:rPr>
        <w:t xml:space="preserve"> 1. günde ve plazmada karar</w:t>
      </w:r>
      <w:r w:rsidR="004A2419" w:rsidRPr="004B3EB9">
        <w:rPr>
          <w:rFonts w:ascii="Times New Roman" w:hAnsi="Times New Roman"/>
          <w:sz w:val="24"/>
          <w:szCs w:val="24"/>
        </w:rPr>
        <w:t>lı</w:t>
      </w:r>
      <w:r w:rsidR="00396DF1" w:rsidRPr="004B3EB9">
        <w:rPr>
          <w:rFonts w:ascii="Times New Roman" w:hAnsi="Times New Roman"/>
          <w:sz w:val="24"/>
          <w:szCs w:val="24"/>
        </w:rPr>
        <w:t xml:space="preserve"> düzeylerin elde ed</w:t>
      </w:r>
      <w:r w:rsidR="004A2419" w:rsidRPr="004B3EB9">
        <w:rPr>
          <w:rFonts w:ascii="Times New Roman" w:hAnsi="Times New Roman"/>
          <w:sz w:val="24"/>
          <w:szCs w:val="24"/>
        </w:rPr>
        <w:t>il</w:t>
      </w:r>
      <w:r w:rsidR="00396DF1" w:rsidRPr="004B3EB9">
        <w:rPr>
          <w:rFonts w:ascii="Times New Roman" w:hAnsi="Times New Roman"/>
          <w:sz w:val="24"/>
          <w:szCs w:val="24"/>
        </w:rPr>
        <w:t>diği 7. ya da 28. günde ana</w:t>
      </w:r>
      <w:r w:rsidR="004A2419" w:rsidRPr="004B3EB9">
        <w:rPr>
          <w:rFonts w:ascii="Times New Roman" w:hAnsi="Times New Roman"/>
          <w:sz w:val="24"/>
          <w:szCs w:val="24"/>
        </w:rPr>
        <w:t>li</w:t>
      </w:r>
      <w:r w:rsidR="00396DF1" w:rsidRPr="004B3EB9">
        <w:rPr>
          <w:rFonts w:ascii="Times New Roman" w:hAnsi="Times New Roman"/>
          <w:sz w:val="24"/>
          <w:szCs w:val="24"/>
        </w:rPr>
        <w:t>z edilmiştir.</w:t>
      </w:r>
    </w:p>
    <w:p w:rsidR="005739A4" w:rsidRDefault="005739A4" w:rsidP="00C86B5D">
      <w:pPr>
        <w:spacing w:after="0"/>
        <w:jc w:val="both"/>
        <w:rPr>
          <w:rFonts w:ascii="Times New Roman" w:hAnsi="Times New Roman"/>
          <w:sz w:val="24"/>
          <w:szCs w:val="24"/>
          <w:u w:val="single"/>
        </w:rPr>
      </w:pPr>
    </w:p>
    <w:p w:rsidR="00396DF1" w:rsidRPr="004B3EB9" w:rsidRDefault="004A2419" w:rsidP="00C86B5D">
      <w:pPr>
        <w:spacing w:after="0"/>
        <w:jc w:val="both"/>
        <w:rPr>
          <w:rFonts w:ascii="Times New Roman" w:hAnsi="Times New Roman"/>
          <w:sz w:val="24"/>
          <w:szCs w:val="24"/>
          <w:u w:val="single"/>
        </w:rPr>
      </w:pPr>
      <w:r w:rsidRPr="004B3EB9">
        <w:rPr>
          <w:rFonts w:ascii="Times New Roman" w:hAnsi="Times New Roman"/>
          <w:sz w:val="24"/>
          <w:szCs w:val="24"/>
          <w:u w:val="single"/>
        </w:rPr>
        <w:t>Emili</w:t>
      </w:r>
      <w:r w:rsidR="00396DF1" w:rsidRPr="004B3EB9">
        <w:rPr>
          <w:rFonts w:ascii="Times New Roman" w:hAnsi="Times New Roman"/>
          <w:sz w:val="24"/>
          <w:szCs w:val="24"/>
          <w:u w:val="single"/>
        </w:rPr>
        <w:t>m:</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Kapsül formülünün ortalama mutlak biyoyararlanımı % 98</w:t>
      </w:r>
      <w:r w:rsidR="00F54064">
        <w:rPr>
          <w:rFonts w:ascii="Times New Roman" w:hAnsi="Times New Roman"/>
          <w:sz w:val="24"/>
          <w:szCs w:val="24"/>
        </w:rPr>
        <w:t>’</w:t>
      </w:r>
      <w:r w:rsidRPr="004B3EB9">
        <w:rPr>
          <w:rFonts w:ascii="Times New Roman" w:hAnsi="Times New Roman"/>
          <w:sz w:val="24"/>
          <w:szCs w:val="24"/>
        </w:rPr>
        <w:t>dir. Bir oral dozu takiben plazma imatinib eğri altında kalan alan (EAA) değerlerinde, yüksek oranda b</w:t>
      </w:r>
      <w:r w:rsidR="00FA40FF" w:rsidRPr="004B3EB9">
        <w:rPr>
          <w:rFonts w:ascii="Times New Roman" w:hAnsi="Times New Roman"/>
          <w:sz w:val="24"/>
          <w:szCs w:val="24"/>
        </w:rPr>
        <w:t>ir</w:t>
      </w:r>
      <w:r w:rsidRPr="004B3EB9">
        <w:rPr>
          <w:rFonts w:ascii="Times New Roman" w:hAnsi="Times New Roman"/>
          <w:sz w:val="24"/>
          <w:szCs w:val="24"/>
        </w:rPr>
        <w:t xml:space="preserve"> hastalar arası değişkenlik (% 40-60) görülmüştür. Yüksek yağ içeren bir gıda </w:t>
      </w:r>
      <w:r w:rsidR="003176D1" w:rsidRPr="004B3EB9">
        <w:rPr>
          <w:rFonts w:ascii="Times New Roman" w:hAnsi="Times New Roman"/>
          <w:sz w:val="24"/>
          <w:szCs w:val="24"/>
        </w:rPr>
        <w:t>ile</w:t>
      </w:r>
      <w:r w:rsidRPr="004B3EB9">
        <w:rPr>
          <w:rFonts w:ascii="Times New Roman" w:hAnsi="Times New Roman"/>
          <w:sz w:val="24"/>
          <w:szCs w:val="24"/>
        </w:rPr>
        <w:t xml:space="preserve"> birlik</w:t>
      </w:r>
      <w:r w:rsidR="004A2419" w:rsidRPr="004B3EB9">
        <w:rPr>
          <w:rFonts w:ascii="Times New Roman" w:hAnsi="Times New Roman"/>
          <w:sz w:val="24"/>
          <w:szCs w:val="24"/>
        </w:rPr>
        <w:t>te verildiğinde, imatinibin emili</w:t>
      </w:r>
      <w:r w:rsidRPr="004B3EB9">
        <w:rPr>
          <w:rFonts w:ascii="Times New Roman" w:hAnsi="Times New Roman"/>
          <w:sz w:val="24"/>
          <w:szCs w:val="24"/>
        </w:rPr>
        <w:t xml:space="preserve">m </w:t>
      </w:r>
      <w:r w:rsidR="004F3870" w:rsidRPr="004B3EB9">
        <w:rPr>
          <w:rFonts w:ascii="Times New Roman" w:hAnsi="Times New Roman"/>
          <w:sz w:val="24"/>
          <w:szCs w:val="24"/>
        </w:rPr>
        <w:t>oranı</w:t>
      </w:r>
      <w:r w:rsidRPr="004B3EB9">
        <w:rPr>
          <w:rFonts w:ascii="Times New Roman" w:hAnsi="Times New Roman"/>
          <w:sz w:val="24"/>
          <w:szCs w:val="24"/>
        </w:rPr>
        <w:t xml:space="preserve"> </w:t>
      </w:r>
      <w:r w:rsidR="004A2419" w:rsidRPr="004B3EB9">
        <w:rPr>
          <w:rFonts w:ascii="Times New Roman" w:hAnsi="Times New Roman"/>
          <w:sz w:val="24"/>
          <w:szCs w:val="24"/>
        </w:rPr>
        <w:t>mi</w:t>
      </w:r>
      <w:r w:rsidRPr="004B3EB9">
        <w:rPr>
          <w:rFonts w:ascii="Times New Roman" w:hAnsi="Times New Roman"/>
          <w:sz w:val="24"/>
          <w:szCs w:val="24"/>
        </w:rPr>
        <w:t>nimal düzeyde azalmış (C</w:t>
      </w:r>
      <w:r w:rsidRPr="004B3EB9">
        <w:rPr>
          <w:rFonts w:ascii="Times New Roman" w:hAnsi="Times New Roman"/>
          <w:sz w:val="24"/>
          <w:szCs w:val="24"/>
          <w:vertAlign w:val="subscript"/>
        </w:rPr>
        <w:t>maks</w:t>
      </w:r>
      <w:r w:rsidR="00F54064">
        <w:rPr>
          <w:rFonts w:ascii="Times New Roman" w:hAnsi="Times New Roman"/>
          <w:sz w:val="24"/>
          <w:szCs w:val="24"/>
        </w:rPr>
        <w:t>’</w:t>
      </w:r>
      <w:r w:rsidRPr="004B3EB9">
        <w:rPr>
          <w:rFonts w:ascii="Times New Roman" w:hAnsi="Times New Roman"/>
          <w:sz w:val="24"/>
          <w:szCs w:val="24"/>
        </w:rPr>
        <w:t>da % 11 azalma ve t</w:t>
      </w:r>
      <w:r w:rsidRPr="004B3EB9">
        <w:rPr>
          <w:rFonts w:ascii="Times New Roman" w:hAnsi="Times New Roman"/>
          <w:sz w:val="24"/>
          <w:szCs w:val="24"/>
          <w:vertAlign w:val="subscript"/>
        </w:rPr>
        <w:t>maks</w:t>
      </w:r>
      <w:r w:rsidR="00F54064">
        <w:rPr>
          <w:rFonts w:ascii="Times New Roman" w:hAnsi="Times New Roman"/>
          <w:sz w:val="24"/>
          <w:szCs w:val="24"/>
        </w:rPr>
        <w:t>’</w:t>
      </w:r>
      <w:r w:rsidRPr="004B3EB9">
        <w:rPr>
          <w:rFonts w:ascii="Times New Roman" w:hAnsi="Times New Roman"/>
          <w:sz w:val="24"/>
          <w:szCs w:val="24"/>
        </w:rPr>
        <w:t xml:space="preserve">da </w:t>
      </w:r>
      <w:proofErr w:type="gramStart"/>
      <w:r w:rsidRPr="004B3EB9">
        <w:rPr>
          <w:rFonts w:ascii="Times New Roman" w:hAnsi="Times New Roman"/>
          <w:sz w:val="24"/>
          <w:szCs w:val="24"/>
        </w:rPr>
        <w:t>1.5</w:t>
      </w:r>
      <w:proofErr w:type="gramEnd"/>
      <w:r w:rsidRPr="004B3EB9">
        <w:rPr>
          <w:rFonts w:ascii="Times New Roman" w:hAnsi="Times New Roman"/>
          <w:sz w:val="24"/>
          <w:szCs w:val="24"/>
        </w:rPr>
        <w:t xml:space="preserve"> saatlik uzama), açlık koşu</w:t>
      </w:r>
      <w:r w:rsidR="004A2419" w:rsidRPr="004B3EB9">
        <w:rPr>
          <w:rFonts w:ascii="Times New Roman" w:hAnsi="Times New Roman"/>
          <w:sz w:val="24"/>
          <w:szCs w:val="24"/>
        </w:rPr>
        <w:t>lları</w:t>
      </w:r>
      <w:r w:rsidRPr="004B3EB9">
        <w:rPr>
          <w:rFonts w:ascii="Times New Roman" w:hAnsi="Times New Roman"/>
          <w:sz w:val="24"/>
          <w:szCs w:val="24"/>
        </w:rPr>
        <w:t>na göre EAA değerinde küçük bir azalma (% 7.4) olmuştur.</w:t>
      </w:r>
    </w:p>
    <w:p w:rsidR="005739A4" w:rsidRDefault="005739A4" w:rsidP="00C86B5D">
      <w:pPr>
        <w:spacing w:after="0"/>
        <w:jc w:val="both"/>
        <w:rPr>
          <w:rFonts w:ascii="Times New Roman" w:hAnsi="Times New Roman"/>
          <w:sz w:val="24"/>
          <w:szCs w:val="24"/>
          <w:u w:val="single"/>
        </w:rPr>
      </w:pPr>
    </w:p>
    <w:p w:rsidR="00396DF1" w:rsidRPr="004B3EB9" w:rsidRDefault="004A2419" w:rsidP="00C86B5D">
      <w:pPr>
        <w:spacing w:after="0"/>
        <w:jc w:val="both"/>
        <w:rPr>
          <w:rFonts w:ascii="Times New Roman" w:hAnsi="Times New Roman"/>
          <w:sz w:val="24"/>
          <w:szCs w:val="24"/>
        </w:rPr>
      </w:pPr>
      <w:r w:rsidRPr="004B3EB9">
        <w:rPr>
          <w:rFonts w:ascii="Times New Roman" w:hAnsi="Times New Roman"/>
          <w:sz w:val="24"/>
          <w:szCs w:val="24"/>
          <w:u w:val="single"/>
        </w:rPr>
        <w:t>Dağılı</w:t>
      </w:r>
      <w:r w:rsidR="00396DF1" w:rsidRPr="004B3EB9">
        <w:rPr>
          <w:rFonts w:ascii="Times New Roman" w:hAnsi="Times New Roman"/>
          <w:sz w:val="24"/>
          <w:szCs w:val="24"/>
          <w:u w:val="single"/>
        </w:rPr>
        <w:t>m:</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Klinik açıdan uygun </w:t>
      </w:r>
      <w:proofErr w:type="gramStart"/>
      <w:r w:rsidRPr="004B3EB9">
        <w:rPr>
          <w:rFonts w:ascii="Times New Roman" w:hAnsi="Times New Roman"/>
          <w:sz w:val="24"/>
          <w:szCs w:val="24"/>
        </w:rPr>
        <w:t>konsantrasyonlarda</w:t>
      </w:r>
      <w:proofErr w:type="gramEnd"/>
      <w:r w:rsidRPr="004B3EB9">
        <w:rPr>
          <w:rFonts w:ascii="Times New Roman" w:hAnsi="Times New Roman"/>
          <w:sz w:val="24"/>
          <w:szCs w:val="24"/>
        </w:rPr>
        <w:t xml:space="preserve"> </w:t>
      </w:r>
      <w:r w:rsidR="00594F00" w:rsidRPr="004B3EB9">
        <w:rPr>
          <w:rFonts w:ascii="Times New Roman" w:hAnsi="Times New Roman"/>
          <w:sz w:val="24"/>
          <w:szCs w:val="24"/>
        </w:rPr>
        <w:t>kull</w:t>
      </w:r>
      <w:r w:rsidR="004A2419" w:rsidRPr="004B3EB9">
        <w:rPr>
          <w:rFonts w:ascii="Times New Roman" w:hAnsi="Times New Roman"/>
          <w:sz w:val="24"/>
          <w:szCs w:val="24"/>
        </w:rPr>
        <w:t>anı</w:t>
      </w:r>
      <w:r w:rsidRPr="004B3EB9">
        <w:rPr>
          <w:rFonts w:ascii="Times New Roman" w:hAnsi="Times New Roman"/>
          <w:sz w:val="24"/>
          <w:szCs w:val="24"/>
        </w:rPr>
        <w:t xml:space="preserve">lan imatinibin plazma proteinlerine bağlanması yaklaşık % 95 olmuş, in vitro deneyler temelinde, </w:t>
      </w:r>
      <w:r w:rsidR="004A2419" w:rsidRPr="004B3EB9">
        <w:rPr>
          <w:rFonts w:ascii="Times New Roman" w:hAnsi="Times New Roman"/>
          <w:sz w:val="24"/>
          <w:szCs w:val="24"/>
        </w:rPr>
        <w:t>daha çok albümin ve alfa-asit-gli</w:t>
      </w:r>
      <w:r w:rsidRPr="004B3EB9">
        <w:rPr>
          <w:rFonts w:ascii="Times New Roman" w:hAnsi="Times New Roman"/>
          <w:sz w:val="24"/>
          <w:szCs w:val="24"/>
        </w:rPr>
        <w:t>kopro</w:t>
      </w:r>
      <w:r w:rsidR="004A2419" w:rsidRPr="004B3EB9">
        <w:rPr>
          <w:rFonts w:ascii="Times New Roman" w:hAnsi="Times New Roman"/>
          <w:sz w:val="24"/>
          <w:szCs w:val="24"/>
        </w:rPr>
        <w:t>teine, az miktarda da li</w:t>
      </w:r>
      <w:r w:rsidRPr="004B3EB9">
        <w:rPr>
          <w:rFonts w:ascii="Times New Roman" w:hAnsi="Times New Roman"/>
          <w:sz w:val="24"/>
          <w:szCs w:val="24"/>
        </w:rPr>
        <w:t>poproteine bağlanmıştır.</w:t>
      </w:r>
    </w:p>
    <w:p w:rsidR="005739A4" w:rsidRDefault="005739A4" w:rsidP="00C86B5D">
      <w:pPr>
        <w:spacing w:after="0"/>
        <w:jc w:val="both"/>
        <w:rPr>
          <w:rFonts w:ascii="Times New Roman" w:hAnsi="Times New Roman"/>
          <w:sz w:val="24"/>
          <w:szCs w:val="24"/>
          <w:u w:val="single"/>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u w:val="single"/>
        </w:rPr>
        <w:t>Biyotransformasyon:</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İnsan</w:t>
      </w:r>
      <w:r w:rsidR="004A2419" w:rsidRPr="004B3EB9">
        <w:rPr>
          <w:rFonts w:ascii="Times New Roman" w:hAnsi="Times New Roman"/>
          <w:sz w:val="24"/>
          <w:szCs w:val="24"/>
        </w:rPr>
        <w:t>larda, dolaşımdaki temel metaboli</w:t>
      </w:r>
      <w:r w:rsidRPr="004B3EB9">
        <w:rPr>
          <w:rFonts w:ascii="Times New Roman" w:hAnsi="Times New Roman"/>
          <w:sz w:val="24"/>
          <w:szCs w:val="24"/>
        </w:rPr>
        <w:t xml:space="preserve">ti ana </w:t>
      </w:r>
      <w:r w:rsidR="003176D1" w:rsidRPr="004B3EB9">
        <w:rPr>
          <w:rFonts w:ascii="Times New Roman" w:hAnsi="Times New Roman"/>
          <w:sz w:val="24"/>
          <w:szCs w:val="24"/>
        </w:rPr>
        <w:t>ila</w:t>
      </w:r>
      <w:r w:rsidR="004A2419" w:rsidRPr="004B3EB9">
        <w:rPr>
          <w:rFonts w:ascii="Times New Roman" w:hAnsi="Times New Roman"/>
          <w:sz w:val="24"/>
          <w:szCs w:val="24"/>
        </w:rPr>
        <w:t xml:space="preserve">ç ile </w:t>
      </w:r>
      <w:r w:rsidR="00F541E0">
        <w:rPr>
          <w:rFonts w:ascii="Times New Roman" w:hAnsi="Times New Roman"/>
          <w:sz w:val="24"/>
          <w:szCs w:val="24"/>
        </w:rPr>
        <w:t xml:space="preserve">in vitro </w:t>
      </w:r>
      <w:r w:rsidR="004A2419" w:rsidRPr="004B3EB9">
        <w:rPr>
          <w:rFonts w:ascii="Times New Roman" w:hAnsi="Times New Roman"/>
          <w:sz w:val="24"/>
          <w:szCs w:val="24"/>
        </w:rPr>
        <w:t>benzer etkinli</w:t>
      </w:r>
      <w:r w:rsidRPr="004B3EB9">
        <w:rPr>
          <w:rFonts w:ascii="Times New Roman" w:hAnsi="Times New Roman"/>
          <w:sz w:val="24"/>
          <w:szCs w:val="24"/>
        </w:rPr>
        <w:t>kte olduğ</w:t>
      </w:r>
      <w:r w:rsidR="004A2419" w:rsidRPr="004B3EB9">
        <w:rPr>
          <w:rFonts w:ascii="Times New Roman" w:hAnsi="Times New Roman"/>
          <w:sz w:val="24"/>
          <w:szCs w:val="24"/>
        </w:rPr>
        <w:t>u gösterilmiş N-demetill</w:t>
      </w:r>
      <w:r w:rsidRPr="004B3EB9">
        <w:rPr>
          <w:rFonts w:ascii="Times New Roman" w:hAnsi="Times New Roman"/>
          <w:sz w:val="24"/>
          <w:szCs w:val="24"/>
        </w:rPr>
        <w:t>enmiş piperazin</w:t>
      </w:r>
      <w:r w:rsidR="004A2419" w:rsidRPr="004B3EB9">
        <w:rPr>
          <w:rFonts w:ascii="Times New Roman" w:hAnsi="Times New Roman"/>
          <w:sz w:val="24"/>
          <w:szCs w:val="24"/>
        </w:rPr>
        <w:t xml:space="preserve"> (CGP71588) türevidir.</w:t>
      </w:r>
      <w:r w:rsidR="005279EC" w:rsidRPr="004B3EB9">
        <w:rPr>
          <w:rFonts w:ascii="Times New Roman" w:hAnsi="Times New Roman"/>
          <w:sz w:val="24"/>
          <w:szCs w:val="24"/>
        </w:rPr>
        <w:t xml:space="preserve"> </w:t>
      </w:r>
      <w:r w:rsidR="004A2419" w:rsidRPr="004B3EB9">
        <w:rPr>
          <w:rFonts w:ascii="Times New Roman" w:hAnsi="Times New Roman"/>
          <w:sz w:val="24"/>
          <w:szCs w:val="24"/>
        </w:rPr>
        <w:t>Bu metaboli</w:t>
      </w:r>
      <w:r w:rsidRPr="004B3EB9">
        <w:rPr>
          <w:rFonts w:ascii="Times New Roman" w:hAnsi="Times New Roman"/>
          <w:sz w:val="24"/>
          <w:szCs w:val="24"/>
        </w:rPr>
        <w:t xml:space="preserve">tin plazma EAA değerinin </w:t>
      </w:r>
      <w:r w:rsidR="004A2419" w:rsidRPr="004B3EB9">
        <w:rPr>
          <w:rFonts w:ascii="Times New Roman" w:hAnsi="Times New Roman"/>
          <w:sz w:val="24"/>
          <w:szCs w:val="24"/>
        </w:rPr>
        <w:t>i</w:t>
      </w:r>
      <w:r w:rsidRPr="004B3EB9">
        <w:rPr>
          <w:rFonts w:ascii="Times New Roman" w:hAnsi="Times New Roman"/>
          <w:sz w:val="24"/>
          <w:szCs w:val="24"/>
        </w:rPr>
        <w:t>matinibin EAA değerinin sadece % 16</w:t>
      </w:r>
      <w:r w:rsidR="00F54064">
        <w:rPr>
          <w:rFonts w:ascii="Times New Roman" w:hAnsi="Times New Roman"/>
          <w:sz w:val="24"/>
          <w:szCs w:val="24"/>
        </w:rPr>
        <w:t>’</w:t>
      </w:r>
      <w:r w:rsidRPr="004B3EB9">
        <w:rPr>
          <w:rFonts w:ascii="Times New Roman" w:hAnsi="Times New Roman"/>
          <w:sz w:val="24"/>
          <w:szCs w:val="24"/>
        </w:rPr>
        <w:t>sı olduğu bulunmuştur.</w:t>
      </w:r>
      <w:r w:rsidR="00B21B1E" w:rsidRPr="004B3EB9">
        <w:rPr>
          <w:rFonts w:ascii="Times New Roman" w:hAnsi="Times New Roman"/>
          <w:sz w:val="24"/>
          <w:szCs w:val="24"/>
        </w:rPr>
        <w:t xml:space="preserve"> </w:t>
      </w:r>
      <w:r w:rsidRPr="004B3EB9">
        <w:rPr>
          <w:rFonts w:ascii="Times New Roman" w:hAnsi="Times New Roman"/>
          <w:sz w:val="24"/>
          <w:szCs w:val="24"/>
        </w:rPr>
        <w:t>N-demet</w:t>
      </w:r>
      <w:r w:rsidR="003176D1" w:rsidRPr="004B3EB9">
        <w:rPr>
          <w:rFonts w:ascii="Times New Roman" w:hAnsi="Times New Roman"/>
          <w:sz w:val="24"/>
          <w:szCs w:val="24"/>
        </w:rPr>
        <w:t>ile</w:t>
      </w:r>
      <w:r w:rsidRPr="004B3EB9">
        <w:rPr>
          <w:rFonts w:ascii="Times New Roman" w:hAnsi="Times New Roman"/>
          <w:sz w:val="24"/>
          <w:szCs w:val="24"/>
        </w:rPr>
        <w:t xml:space="preserve"> metabo</w:t>
      </w:r>
      <w:r w:rsidR="004A2419" w:rsidRPr="004B3EB9">
        <w:rPr>
          <w:rFonts w:ascii="Times New Roman" w:hAnsi="Times New Roman"/>
          <w:sz w:val="24"/>
          <w:szCs w:val="24"/>
        </w:rPr>
        <w:t>li</w:t>
      </w:r>
      <w:r w:rsidRPr="004B3EB9">
        <w:rPr>
          <w:rFonts w:ascii="Times New Roman" w:hAnsi="Times New Roman"/>
          <w:sz w:val="24"/>
          <w:szCs w:val="24"/>
        </w:rPr>
        <w:t>tin plazma proteinlerine bağlanması, as</w:t>
      </w:r>
      <w:r w:rsidR="004A2419" w:rsidRPr="004B3EB9">
        <w:rPr>
          <w:rFonts w:ascii="Times New Roman" w:hAnsi="Times New Roman"/>
          <w:sz w:val="24"/>
          <w:szCs w:val="24"/>
        </w:rPr>
        <w:t>ıl</w:t>
      </w:r>
      <w:r w:rsidRPr="004B3EB9">
        <w:rPr>
          <w:rFonts w:ascii="Times New Roman" w:hAnsi="Times New Roman"/>
          <w:sz w:val="24"/>
          <w:szCs w:val="24"/>
        </w:rPr>
        <w:t xml:space="preserve"> b</w:t>
      </w:r>
      <w:r w:rsidR="003176D1" w:rsidRPr="004B3EB9">
        <w:rPr>
          <w:rFonts w:ascii="Times New Roman" w:hAnsi="Times New Roman"/>
          <w:sz w:val="24"/>
          <w:szCs w:val="24"/>
        </w:rPr>
        <w:t>ile</w:t>
      </w:r>
      <w:r w:rsidRPr="004B3EB9">
        <w:rPr>
          <w:rFonts w:ascii="Times New Roman" w:hAnsi="Times New Roman"/>
          <w:sz w:val="24"/>
          <w:szCs w:val="24"/>
        </w:rPr>
        <w:t>şikteki gibid</w:t>
      </w:r>
      <w:r w:rsidR="004A2419" w:rsidRPr="004B3EB9">
        <w:rPr>
          <w:rFonts w:ascii="Times New Roman" w:hAnsi="Times New Roman"/>
          <w:sz w:val="24"/>
          <w:szCs w:val="24"/>
        </w:rPr>
        <w:t>ir</w:t>
      </w:r>
      <w:r w:rsidRPr="004B3EB9">
        <w:rPr>
          <w:rFonts w:ascii="Times New Roman" w:hAnsi="Times New Roman"/>
          <w:sz w:val="24"/>
          <w:szCs w:val="24"/>
        </w:rPr>
        <w:t>.</w:t>
      </w:r>
    </w:p>
    <w:p w:rsidR="0006573B" w:rsidRDefault="0006573B" w:rsidP="00C86B5D">
      <w:pPr>
        <w:spacing w:after="0"/>
        <w:jc w:val="both"/>
        <w:rPr>
          <w:rFonts w:ascii="Times New Roman" w:hAnsi="Times New Roman"/>
          <w:sz w:val="24"/>
          <w:szCs w:val="24"/>
          <w:u w:val="single"/>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u w:val="single"/>
        </w:rPr>
        <w:t>Eliminasyon:</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İmatinibin </w:t>
      </w:r>
      <w:r w:rsidRPr="004B3EB9">
        <w:rPr>
          <w:rFonts w:ascii="Times New Roman" w:hAnsi="Times New Roman"/>
          <w:sz w:val="24"/>
          <w:szCs w:val="24"/>
          <w:vertAlign w:val="superscript"/>
        </w:rPr>
        <w:t>14</w:t>
      </w:r>
      <w:r w:rsidRPr="004B3EB9">
        <w:rPr>
          <w:rFonts w:ascii="Times New Roman" w:hAnsi="Times New Roman"/>
          <w:sz w:val="24"/>
          <w:szCs w:val="24"/>
        </w:rPr>
        <w:t>C-işaret</w:t>
      </w:r>
      <w:r w:rsidR="004A2419" w:rsidRPr="004B3EB9">
        <w:rPr>
          <w:rFonts w:ascii="Times New Roman" w:hAnsi="Times New Roman"/>
          <w:sz w:val="24"/>
          <w:szCs w:val="24"/>
        </w:rPr>
        <w:t>li</w:t>
      </w:r>
      <w:r w:rsidRPr="004B3EB9">
        <w:rPr>
          <w:rFonts w:ascii="Times New Roman" w:hAnsi="Times New Roman"/>
          <w:sz w:val="24"/>
          <w:szCs w:val="24"/>
        </w:rPr>
        <w:t xml:space="preserve"> tek oral dozundan sonra, dozun yaklaşık % 81</w:t>
      </w:r>
      <w:r w:rsidR="00F54064">
        <w:rPr>
          <w:rFonts w:ascii="Times New Roman" w:hAnsi="Times New Roman"/>
          <w:sz w:val="24"/>
          <w:szCs w:val="24"/>
        </w:rPr>
        <w:t>’</w:t>
      </w:r>
      <w:r w:rsidRPr="004B3EB9">
        <w:rPr>
          <w:rFonts w:ascii="Times New Roman" w:hAnsi="Times New Roman"/>
          <w:sz w:val="24"/>
          <w:szCs w:val="24"/>
        </w:rPr>
        <w:t>i 7 gün içinde feçesle (dozun % 68</w:t>
      </w:r>
      <w:r w:rsidR="00F54064">
        <w:rPr>
          <w:rFonts w:ascii="Times New Roman" w:hAnsi="Times New Roman"/>
          <w:sz w:val="24"/>
          <w:szCs w:val="24"/>
        </w:rPr>
        <w:t>’</w:t>
      </w:r>
      <w:r w:rsidRPr="004B3EB9">
        <w:rPr>
          <w:rFonts w:ascii="Times New Roman" w:hAnsi="Times New Roman"/>
          <w:sz w:val="24"/>
          <w:szCs w:val="24"/>
        </w:rPr>
        <w:t>i) ve idrarla (dozun % 13</w:t>
      </w:r>
      <w:r w:rsidR="00F54064">
        <w:rPr>
          <w:rFonts w:ascii="Times New Roman" w:hAnsi="Times New Roman"/>
          <w:sz w:val="24"/>
          <w:szCs w:val="24"/>
        </w:rPr>
        <w:t>’</w:t>
      </w:r>
      <w:r w:rsidRPr="004B3EB9">
        <w:rPr>
          <w:rFonts w:ascii="Times New Roman" w:hAnsi="Times New Roman"/>
          <w:sz w:val="24"/>
          <w:szCs w:val="24"/>
        </w:rPr>
        <w:t>ü) itrah edilmişt</w:t>
      </w:r>
      <w:r w:rsidR="004A2419" w:rsidRPr="004B3EB9">
        <w:rPr>
          <w:rFonts w:ascii="Times New Roman" w:hAnsi="Times New Roman"/>
          <w:sz w:val="24"/>
          <w:szCs w:val="24"/>
        </w:rPr>
        <w:t>ir</w:t>
      </w:r>
      <w:r w:rsidRPr="004B3EB9">
        <w:rPr>
          <w:rFonts w:ascii="Times New Roman" w:hAnsi="Times New Roman"/>
          <w:sz w:val="24"/>
          <w:szCs w:val="24"/>
        </w:rPr>
        <w:t>. Değişmemiş durumdaki imatinib, dozun % 25</w:t>
      </w:r>
      <w:r w:rsidR="00F54064">
        <w:rPr>
          <w:rFonts w:ascii="Times New Roman" w:hAnsi="Times New Roman"/>
          <w:sz w:val="24"/>
          <w:szCs w:val="24"/>
        </w:rPr>
        <w:t>’</w:t>
      </w:r>
      <w:r w:rsidRPr="004B3EB9">
        <w:rPr>
          <w:rFonts w:ascii="Times New Roman" w:hAnsi="Times New Roman"/>
          <w:sz w:val="24"/>
          <w:szCs w:val="24"/>
        </w:rPr>
        <w:t>ini (% 5 idrar, % 20 feçes) oluşturmuştur, geriye kalan kısım metabo</w:t>
      </w:r>
      <w:r w:rsidR="004A2419" w:rsidRPr="004B3EB9">
        <w:rPr>
          <w:rFonts w:ascii="Times New Roman" w:hAnsi="Times New Roman"/>
          <w:sz w:val="24"/>
          <w:szCs w:val="24"/>
        </w:rPr>
        <w:t>li</w:t>
      </w:r>
      <w:r w:rsidRPr="004B3EB9">
        <w:rPr>
          <w:rFonts w:ascii="Times New Roman" w:hAnsi="Times New Roman"/>
          <w:sz w:val="24"/>
          <w:szCs w:val="24"/>
        </w:rPr>
        <w:t>tlerd</w:t>
      </w:r>
      <w:r w:rsidR="004A2419" w:rsidRPr="004B3EB9">
        <w:rPr>
          <w:rFonts w:ascii="Times New Roman" w:hAnsi="Times New Roman"/>
          <w:sz w:val="24"/>
          <w:szCs w:val="24"/>
        </w:rPr>
        <w:t>ir</w:t>
      </w:r>
      <w:r w:rsidRPr="004B3EB9">
        <w:rPr>
          <w:rFonts w:ascii="Times New Roman" w:hAnsi="Times New Roman"/>
          <w:sz w:val="24"/>
          <w:szCs w:val="24"/>
        </w:rPr>
        <w:t>.</w:t>
      </w:r>
    </w:p>
    <w:p w:rsidR="00DC6B50" w:rsidRDefault="00DC6B50" w:rsidP="00C86B5D">
      <w:pPr>
        <w:spacing w:after="0"/>
        <w:jc w:val="both"/>
        <w:rPr>
          <w:rFonts w:ascii="Times New Roman" w:hAnsi="Times New Roman"/>
          <w:sz w:val="24"/>
          <w:szCs w:val="24"/>
          <w:u w:val="single"/>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u w:val="single"/>
        </w:rPr>
        <w:t xml:space="preserve">Doğrusallık / doğrusal olmayan </w:t>
      </w:r>
      <w:proofErr w:type="gramStart"/>
      <w:r w:rsidRPr="004B3EB9">
        <w:rPr>
          <w:rFonts w:ascii="Times New Roman" w:hAnsi="Times New Roman"/>
          <w:sz w:val="24"/>
          <w:szCs w:val="24"/>
          <w:u w:val="single"/>
        </w:rPr>
        <w:t>durum :</w:t>
      </w:r>
      <w:proofErr w:type="gramEnd"/>
    </w:p>
    <w:p w:rsidR="00396DF1" w:rsidRPr="004B3EB9" w:rsidRDefault="004A2419" w:rsidP="00C86B5D">
      <w:pPr>
        <w:spacing w:after="0"/>
        <w:jc w:val="both"/>
        <w:rPr>
          <w:rFonts w:ascii="Times New Roman" w:hAnsi="Times New Roman"/>
          <w:sz w:val="24"/>
          <w:szCs w:val="24"/>
        </w:rPr>
      </w:pPr>
      <w:r w:rsidRPr="004B3EB9">
        <w:rPr>
          <w:rFonts w:ascii="Times New Roman" w:hAnsi="Times New Roman"/>
          <w:sz w:val="24"/>
          <w:szCs w:val="24"/>
        </w:rPr>
        <w:t xml:space="preserve">Sağlıklı </w:t>
      </w:r>
      <w:r w:rsidR="00396DF1" w:rsidRPr="004B3EB9">
        <w:rPr>
          <w:rFonts w:ascii="Times New Roman" w:hAnsi="Times New Roman"/>
          <w:sz w:val="24"/>
          <w:szCs w:val="24"/>
        </w:rPr>
        <w:t xml:space="preserve">gönüllülerde oral uygulamanın ardından, imatinib </w:t>
      </w:r>
      <w:r w:rsidR="00FA40FF" w:rsidRPr="004B3EB9">
        <w:rPr>
          <w:rFonts w:ascii="Times New Roman" w:hAnsi="Times New Roman"/>
          <w:sz w:val="24"/>
          <w:szCs w:val="24"/>
        </w:rPr>
        <w:t>t</w:t>
      </w:r>
      <w:r w:rsidR="00FA40FF" w:rsidRPr="009D4F4C">
        <w:rPr>
          <w:rFonts w:ascii="Times New Roman" w:hAnsi="Times New Roman"/>
          <w:sz w:val="24"/>
          <w:szCs w:val="24"/>
          <w:vertAlign w:val="subscript"/>
        </w:rPr>
        <w:t>1</w:t>
      </w:r>
      <w:r w:rsidR="00396DF1" w:rsidRPr="009D4F4C">
        <w:rPr>
          <w:rFonts w:ascii="Times New Roman" w:hAnsi="Times New Roman"/>
          <w:iCs/>
          <w:sz w:val="24"/>
          <w:szCs w:val="24"/>
          <w:vertAlign w:val="subscript"/>
        </w:rPr>
        <w:t>/2</w:t>
      </w:r>
      <w:r w:rsidR="00396DF1" w:rsidRPr="009D4F4C">
        <w:rPr>
          <w:rFonts w:ascii="Times New Roman" w:hAnsi="Times New Roman"/>
          <w:iCs/>
          <w:sz w:val="24"/>
          <w:szCs w:val="24"/>
        </w:rPr>
        <w:t xml:space="preserve"> </w:t>
      </w:r>
      <w:r w:rsidR="00396DF1" w:rsidRPr="004B3EB9">
        <w:rPr>
          <w:rFonts w:ascii="Times New Roman" w:hAnsi="Times New Roman"/>
          <w:sz w:val="24"/>
          <w:szCs w:val="24"/>
        </w:rPr>
        <w:t>değeri yaklaşık 18 saat olması günde tek doz şek</w:t>
      </w:r>
      <w:r w:rsidRPr="004B3EB9">
        <w:rPr>
          <w:rFonts w:ascii="Times New Roman" w:hAnsi="Times New Roman"/>
          <w:sz w:val="24"/>
          <w:szCs w:val="24"/>
        </w:rPr>
        <w:t>li</w:t>
      </w:r>
      <w:r w:rsidR="00396DF1" w:rsidRPr="004B3EB9">
        <w:rPr>
          <w:rFonts w:ascii="Times New Roman" w:hAnsi="Times New Roman"/>
          <w:sz w:val="24"/>
          <w:szCs w:val="24"/>
        </w:rPr>
        <w:t>ndeki pozolojinin uygun olduğu izlenimi</w:t>
      </w:r>
      <w:r w:rsidR="000E03E4" w:rsidRPr="004B3EB9">
        <w:rPr>
          <w:rFonts w:ascii="Times New Roman" w:hAnsi="Times New Roman"/>
          <w:sz w:val="24"/>
          <w:szCs w:val="24"/>
        </w:rPr>
        <w:t>ni</w:t>
      </w:r>
      <w:r w:rsidR="00396DF1" w:rsidRPr="004B3EB9">
        <w:rPr>
          <w:rFonts w:ascii="Times New Roman" w:hAnsi="Times New Roman"/>
          <w:sz w:val="24"/>
          <w:szCs w:val="24"/>
        </w:rPr>
        <w:t xml:space="preserve"> vermekte</w:t>
      </w:r>
      <w:r w:rsidRPr="004B3EB9">
        <w:rPr>
          <w:rFonts w:ascii="Times New Roman" w:hAnsi="Times New Roman"/>
          <w:sz w:val="24"/>
          <w:szCs w:val="24"/>
        </w:rPr>
        <w:t>dir</w:t>
      </w:r>
      <w:r w:rsidR="00396DF1" w:rsidRPr="004B3EB9">
        <w:rPr>
          <w:rFonts w:ascii="Times New Roman" w:hAnsi="Times New Roman"/>
          <w:sz w:val="24"/>
          <w:szCs w:val="24"/>
        </w:rPr>
        <w:t xml:space="preserve">. Oral olarak 25-1000 mg imatinib uygulandıktan sonra artan dozla birlikte ortalama EAA artışı doğrusal </w:t>
      </w:r>
      <w:r w:rsidR="000E03E4" w:rsidRPr="004B3EB9">
        <w:rPr>
          <w:rFonts w:ascii="Times New Roman" w:hAnsi="Times New Roman"/>
          <w:sz w:val="24"/>
          <w:szCs w:val="24"/>
        </w:rPr>
        <w:t>bir</w:t>
      </w:r>
      <w:r w:rsidR="00396DF1" w:rsidRPr="004B3EB9">
        <w:rPr>
          <w:rFonts w:ascii="Times New Roman" w:hAnsi="Times New Roman"/>
          <w:sz w:val="24"/>
          <w:szCs w:val="24"/>
        </w:rPr>
        <w:t xml:space="preserve"> sey</w:t>
      </w:r>
      <w:r w:rsidR="00FA40FF" w:rsidRPr="004B3EB9">
        <w:rPr>
          <w:rFonts w:ascii="Times New Roman" w:hAnsi="Times New Roman"/>
          <w:sz w:val="24"/>
          <w:szCs w:val="24"/>
        </w:rPr>
        <w:t>ir</w:t>
      </w:r>
      <w:r w:rsidR="00396DF1" w:rsidRPr="004B3EB9">
        <w:rPr>
          <w:rFonts w:ascii="Times New Roman" w:hAnsi="Times New Roman"/>
          <w:sz w:val="24"/>
          <w:szCs w:val="24"/>
        </w:rPr>
        <w:t xml:space="preserve"> izlemiştir. Tekrarlanan dozlarda imatinib kinetiğinde değişiklik olmamış ve günde bir kez uygulandığında birikim, karar</w:t>
      </w:r>
      <w:r w:rsidR="00FA40FF" w:rsidRPr="004B3EB9">
        <w:rPr>
          <w:rFonts w:ascii="Times New Roman" w:hAnsi="Times New Roman"/>
          <w:sz w:val="24"/>
          <w:szCs w:val="24"/>
        </w:rPr>
        <w:t>lı</w:t>
      </w:r>
      <w:r w:rsidR="00396DF1" w:rsidRPr="004B3EB9">
        <w:rPr>
          <w:rFonts w:ascii="Times New Roman" w:hAnsi="Times New Roman"/>
          <w:sz w:val="24"/>
          <w:szCs w:val="24"/>
        </w:rPr>
        <w:t xml:space="preserve"> </w:t>
      </w:r>
      <w:r w:rsidR="003176D1" w:rsidRPr="004B3EB9">
        <w:rPr>
          <w:rFonts w:ascii="Times New Roman" w:hAnsi="Times New Roman"/>
          <w:sz w:val="24"/>
          <w:szCs w:val="24"/>
        </w:rPr>
        <w:t>ila</w:t>
      </w:r>
      <w:r w:rsidR="00396DF1" w:rsidRPr="004B3EB9">
        <w:rPr>
          <w:rFonts w:ascii="Times New Roman" w:hAnsi="Times New Roman"/>
          <w:sz w:val="24"/>
          <w:szCs w:val="24"/>
        </w:rPr>
        <w:t xml:space="preserve">ç konsantrasyonunun </w:t>
      </w:r>
      <w:proofErr w:type="gramStart"/>
      <w:r w:rsidR="00396DF1" w:rsidRPr="004B3EB9">
        <w:rPr>
          <w:rFonts w:ascii="Times New Roman" w:hAnsi="Times New Roman"/>
          <w:sz w:val="24"/>
          <w:szCs w:val="24"/>
        </w:rPr>
        <w:t>1.5</w:t>
      </w:r>
      <w:proofErr w:type="gramEnd"/>
      <w:r w:rsidR="00396DF1" w:rsidRPr="004B3EB9">
        <w:rPr>
          <w:rFonts w:ascii="Times New Roman" w:hAnsi="Times New Roman"/>
          <w:sz w:val="24"/>
          <w:szCs w:val="24"/>
        </w:rPr>
        <w:t>-2.5 katı olmuştur.</w:t>
      </w:r>
    </w:p>
    <w:p w:rsidR="00F36470"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Farmakokinetik / farmakodinamik ilişkiler:</w:t>
      </w:r>
    </w:p>
    <w:p w:rsidR="00396DF1" w:rsidRPr="004B3EB9" w:rsidRDefault="00396DF1" w:rsidP="00C86B5D">
      <w:pPr>
        <w:spacing w:after="0"/>
        <w:jc w:val="both"/>
        <w:rPr>
          <w:rFonts w:ascii="Times New Roman" w:hAnsi="Times New Roman"/>
          <w:sz w:val="24"/>
          <w:szCs w:val="24"/>
        </w:rPr>
      </w:pPr>
      <w:proofErr w:type="gramStart"/>
      <w:r w:rsidRPr="004B3EB9">
        <w:rPr>
          <w:rFonts w:ascii="Times New Roman" w:hAnsi="Times New Roman"/>
          <w:b/>
          <w:bCs/>
          <w:sz w:val="24"/>
          <w:szCs w:val="24"/>
        </w:rPr>
        <w:t>Popülasyon</w:t>
      </w:r>
      <w:proofErr w:type="gramEnd"/>
      <w:r w:rsidRPr="004B3EB9">
        <w:rPr>
          <w:rFonts w:ascii="Times New Roman" w:hAnsi="Times New Roman"/>
          <w:b/>
          <w:bCs/>
          <w:sz w:val="24"/>
          <w:szCs w:val="24"/>
        </w:rPr>
        <w:t xml:space="preserve"> farmakokinetikleri</w:t>
      </w:r>
    </w:p>
    <w:p w:rsidR="00396DF1" w:rsidRPr="004B3EB9" w:rsidRDefault="00396DF1" w:rsidP="00C86B5D">
      <w:pPr>
        <w:spacing w:after="0"/>
        <w:jc w:val="both"/>
        <w:rPr>
          <w:rFonts w:ascii="Times New Roman" w:hAnsi="Times New Roman"/>
          <w:sz w:val="24"/>
          <w:szCs w:val="24"/>
        </w:rPr>
      </w:pPr>
      <w:proofErr w:type="gramStart"/>
      <w:r w:rsidRPr="004B3EB9">
        <w:rPr>
          <w:rFonts w:ascii="Times New Roman" w:hAnsi="Times New Roman"/>
          <w:sz w:val="24"/>
          <w:szCs w:val="24"/>
        </w:rPr>
        <w:t>Popülasyon</w:t>
      </w:r>
      <w:proofErr w:type="gramEnd"/>
      <w:r w:rsidRPr="004B3EB9">
        <w:rPr>
          <w:rFonts w:ascii="Times New Roman" w:hAnsi="Times New Roman"/>
          <w:sz w:val="24"/>
          <w:szCs w:val="24"/>
        </w:rPr>
        <w:t xml:space="preserve"> farmakokinetiği analizlerine göre yaş</w:t>
      </w:r>
      <w:r w:rsidR="00FA40FF" w:rsidRPr="004B3EB9">
        <w:rPr>
          <w:rFonts w:ascii="Times New Roman" w:hAnsi="Times New Roman"/>
          <w:sz w:val="24"/>
          <w:szCs w:val="24"/>
        </w:rPr>
        <w:t>ın</w:t>
      </w:r>
      <w:r w:rsidRPr="004B3EB9">
        <w:rPr>
          <w:rFonts w:ascii="Times New Roman" w:hAnsi="Times New Roman"/>
          <w:sz w:val="24"/>
          <w:szCs w:val="24"/>
        </w:rPr>
        <w:t xml:space="preserve"> dağı</w:t>
      </w:r>
      <w:r w:rsidR="00FA40FF" w:rsidRPr="004B3EB9">
        <w:rPr>
          <w:rFonts w:ascii="Times New Roman" w:hAnsi="Times New Roman"/>
          <w:sz w:val="24"/>
          <w:szCs w:val="24"/>
        </w:rPr>
        <w:t>lı</w:t>
      </w:r>
      <w:r w:rsidRPr="004B3EB9">
        <w:rPr>
          <w:rFonts w:ascii="Times New Roman" w:hAnsi="Times New Roman"/>
          <w:sz w:val="24"/>
          <w:szCs w:val="24"/>
        </w:rPr>
        <w:t>m hacmi üzerinde küçük bir etkisi olmuştur (&gt; 65 yaş</w:t>
      </w:r>
      <w:r w:rsidR="00FA40FF" w:rsidRPr="004B3EB9">
        <w:rPr>
          <w:rFonts w:ascii="Times New Roman" w:hAnsi="Times New Roman"/>
          <w:sz w:val="24"/>
          <w:szCs w:val="24"/>
        </w:rPr>
        <w:t>ın</w:t>
      </w:r>
      <w:r w:rsidRPr="004B3EB9">
        <w:rPr>
          <w:rFonts w:ascii="Times New Roman" w:hAnsi="Times New Roman"/>
          <w:sz w:val="24"/>
          <w:szCs w:val="24"/>
        </w:rPr>
        <w:t>daki hastalarda % 12 artış). Bu değişimin klinik açıdan anlam</w:t>
      </w:r>
      <w:r w:rsidR="00FA40FF" w:rsidRPr="004B3EB9">
        <w:rPr>
          <w:rFonts w:ascii="Times New Roman" w:hAnsi="Times New Roman"/>
          <w:sz w:val="24"/>
          <w:szCs w:val="24"/>
        </w:rPr>
        <w:t>lı</w:t>
      </w:r>
      <w:r w:rsidRPr="004B3EB9">
        <w:rPr>
          <w:rFonts w:ascii="Times New Roman" w:hAnsi="Times New Roman"/>
          <w:sz w:val="24"/>
          <w:szCs w:val="24"/>
        </w:rPr>
        <w:t xml:space="preserve"> olm</w:t>
      </w:r>
      <w:r w:rsidR="00FA40FF" w:rsidRPr="004B3EB9">
        <w:rPr>
          <w:rFonts w:ascii="Times New Roman" w:hAnsi="Times New Roman"/>
          <w:sz w:val="24"/>
          <w:szCs w:val="24"/>
        </w:rPr>
        <w:t>adığı düşünülmüştür. Vücut ağırlı</w:t>
      </w:r>
      <w:r w:rsidRPr="004B3EB9">
        <w:rPr>
          <w:rFonts w:ascii="Times New Roman" w:hAnsi="Times New Roman"/>
          <w:sz w:val="24"/>
          <w:szCs w:val="24"/>
        </w:rPr>
        <w:t>ğının imatinib klerensi üzerindeki etkisine bakıldığında, 50 kg ağır</w:t>
      </w:r>
      <w:r w:rsidR="00FA40FF" w:rsidRPr="004B3EB9">
        <w:rPr>
          <w:rFonts w:ascii="Times New Roman" w:hAnsi="Times New Roman"/>
          <w:sz w:val="24"/>
          <w:szCs w:val="24"/>
        </w:rPr>
        <w:t>lı</w:t>
      </w:r>
      <w:r w:rsidRPr="004B3EB9">
        <w:rPr>
          <w:rFonts w:ascii="Times New Roman" w:hAnsi="Times New Roman"/>
          <w:sz w:val="24"/>
          <w:szCs w:val="24"/>
        </w:rPr>
        <w:t xml:space="preserve">ğındaki bir kişide klerensin </w:t>
      </w:r>
      <w:proofErr w:type="gramStart"/>
      <w:r w:rsidRPr="004B3EB9">
        <w:rPr>
          <w:rFonts w:ascii="Times New Roman" w:hAnsi="Times New Roman"/>
          <w:sz w:val="24"/>
          <w:szCs w:val="24"/>
        </w:rPr>
        <w:t>8.5</w:t>
      </w:r>
      <w:proofErr w:type="gramEnd"/>
      <w:r w:rsidRPr="004B3EB9">
        <w:rPr>
          <w:rFonts w:ascii="Times New Roman" w:hAnsi="Times New Roman"/>
          <w:sz w:val="24"/>
          <w:szCs w:val="24"/>
        </w:rPr>
        <w:t xml:space="preserve"> l/s, olması beklenirken, 100 kg ağırlığındaki b</w:t>
      </w:r>
      <w:r w:rsidR="00FA40FF" w:rsidRPr="004B3EB9">
        <w:rPr>
          <w:rFonts w:ascii="Times New Roman" w:hAnsi="Times New Roman"/>
          <w:sz w:val="24"/>
          <w:szCs w:val="24"/>
        </w:rPr>
        <w:t>ir</w:t>
      </w:r>
      <w:r w:rsidRPr="004B3EB9">
        <w:rPr>
          <w:rFonts w:ascii="Times New Roman" w:hAnsi="Times New Roman"/>
          <w:sz w:val="24"/>
          <w:szCs w:val="24"/>
        </w:rPr>
        <w:t xml:space="preserve"> kişideki klerens 11.8 l/s</w:t>
      </w:r>
      <w:r w:rsidR="00F54064">
        <w:rPr>
          <w:rFonts w:ascii="Times New Roman" w:hAnsi="Times New Roman"/>
          <w:sz w:val="24"/>
          <w:szCs w:val="24"/>
        </w:rPr>
        <w:t>’</w:t>
      </w:r>
      <w:r w:rsidRPr="004B3EB9">
        <w:rPr>
          <w:rFonts w:ascii="Times New Roman" w:hAnsi="Times New Roman"/>
          <w:sz w:val="24"/>
          <w:szCs w:val="24"/>
        </w:rPr>
        <w:t>e yükselmekted</w:t>
      </w:r>
      <w:r w:rsidR="00FA40FF" w:rsidRPr="004B3EB9">
        <w:rPr>
          <w:rFonts w:ascii="Times New Roman" w:hAnsi="Times New Roman"/>
          <w:sz w:val="24"/>
          <w:szCs w:val="24"/>
        </w:rPr>
        <w:t>ir</w:t>
      </w:r>
      <w:r w:rsidRPr="004B3EB9">
        <w:rPr>
          <w:rFonts w:ascii="Times New Roman" w:hAnsi="Times New Roman"/>
          <w:sz w:val="24"/>
          <w:szCs w:val="24"/>
        </w:rPr>
        <w:t>. Bu değişiklikler vücut ağır</w:t>
      </w:r>
      <w:r w:rsidR="00FA40FF" w:rsidRPr="004B3EB9">
        <w:rPr>
          <w:rFonts w:ascii="Times New Roman" w:hAnsi="Times New Roman"/>
          <w:sz w:val="24"/>
          <w:szCs w:val="24"/>
        </w:rPr>
        <w:t>lı</w:t>
      </w:r>
      <w:r w:rsidRPr="004B3EB9">
        <w:rPr>
          <w:rFonts w:ascii="Times New Roman" w:hAnsi="Times New Roman"/>
          <w:sz w:val="24"/>
          <w:szCs w:val="24"/>
        </w:rPr>
        <w:t>ğına göre bir doz ayarlaması yapılm</w:t>
      </w:r>
      <w:r w:rsidR="00FA40FF" w:rsidRPr="004B3EB9">
        <w:rPr>
          <w:rFonts w:ascii="Times New Roman" w:hAnsi="Times New Roman"/>
          <w:sz w:val="24"/>
          <w:szCs w:val="24"/>
        </w:rPr>
        <w:t>ası için yeterli olarak kabul edil</w:t>
      </w:r>
      <w:r w:rsidRPr="004B3EB9">
        <w:rPr>
          <w:rFonts w:ascii="Times New Roman" w:hAnsi="Times New Roman"/>
          <w:sz w:val="24"/>
          <w:szCs w:val="24"/>
        </w:rPr>
        <w:t>memiştir. Cinsiyetin imatinib kinetiği üzerinde etkisi olmamıştır.</w:t>
      </w:r>
      <w:r w:rsidR="000E03E4" w:rsidRPr="004B3EB9">
        <w:rPr>
          <w:rFonts w:ascii="Times New Roman" w:hAnsi="Times New Roman"/>
          <w:sz w:val="24"/>
          <w:szCs w:val="24"/>
        </w:rPr>
        <w:t xml:space="preserve"> </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Yeni ta</w:t>
      </w:r>
      <w:r w:rsidR="000E03E4" w:rsidRPr="004B3EB9">
        <w:rPr>
          <w:rFonts w:ascii="Times New Roman" w:hAnsi="Times New Roman"/>
          <w:sz w:val="24"/>
          <w:szCs w:val="24"/>
        </w:rPr>
        <w:t>nı</w:t>
      </w:r>
      <w:r w:rsidRPr="004B3EB9">
        <w:rPr>
          <w:rFonts w:ascii="Times New Roman" w:hAnsi="Times New Roman"/>
          <w:sz w:val="24"/>
          <w:szCs w:val="24"/>
        </w:rPr>
        <w:t xml:space="preserve"> konulmuş KML </w:t>
      </w:r>
      <w:r w:rsidR="00791617" w:rsidRPr="004B3EB9">
        <w:rPr>
          <w:rFonts w:ascii="Times New Roman" w:hAnsi="Times New Roman"/>
          <w:sz w:val="24"/>
          <w:szCs w:val="24"/>
        </w:rPr>
        <w:t>vakaların</w:t>
      </w:r>
      <w:r w:rsidRPr="004B3EB9">
        <w:rPr>
          <w:rFonts w:ascii="Times New Roman" w:hAnsi="Times New Roman"/>
          <w:sz w:val="24"/>
          <w:szCs w:val="24"/>
        </w:rPr>
        <w:t xml:space="preserve">daki Faz </w:t>
      </w:r>
      <w:r w:rsidRPr="004B3EB9">
        <w:rPr>
          <w:rFonts w:ascii="Times New Roman" w:hAnsi="Times New Roman"/>
          <w:sz w:val="24"/>
          <w:szCs w:val="24"/>
          <w:lang w:val="en-US"/>
        </w:rPr>
        <w:t xml:space="preserve">III </w:t>
      </w:r>
      <w:r w:rsidR="00594F00" w:rsidRPr="004B3EB9">
        <w:rPr>
          <w:rFonts w:ascii="Times New Roman" w:hAnsi="Times New Roman"/>
          <w:sz w:val="24"/>
          <w:szCs w:val="24"/>
        </w:rPr>
        <w:t>çalışma</w:t>
      </w:r>
      <w:r w:rsidRPr="004B3EB9">
        <w:rPr>
          <w:rFonts w:ascii="Times New Roman" w:hAnsi="Times New Roman"/>
          <w:sz w:val="24"/>
          <w:szCs w:val="24"/>
        </w:rPr>
        <w:t xml:space="preserve">da diğer </w:t>
      </w:r>
      <w:proofErr w:type="gramStart"/>
      <w:r w:rsidRPr="004B3EB9">
        <w:rPr>
          <w:rFonts w:ascii="Times New Roman" w:hAnsi="Times New Roman"/>
          <w:sz w:val="24"/>
          <w:szCs w:val="24"/>
        </w:rPr>
        <w:t>popülasyon</w:t>
      </w:r>
      <w:proofErr w:type="gramEnd"/>
      <w:r w:rsidRPr="004B3EB9">
        <w:rPr>
          <w:rFonts w:ascii="Times New Roman" w:hAnsi="Times New Roman"/>
          <w:sz w:val="24"/>
          <w:szCs w:val="24"/>
        </w:rPr>
        <w:t xml:space="preserve"> farmakokinetiği analizleri, kovariyans faktörlerinin ve </w:t>
      </w:r>
      <w:r w:rsidR="00FA40FF" w:rsidRPr="004B3EB9">
        <w:rPr>
          <w:rFonts w:ascii="Times New Roman" w:hAnsi="Times New Roman"/>
          <w:sz w:val="24"/>
          <w:szCs w:val="24"/>
        </w:rPr>
        <w:t>bir</w:t>
      </w:r>
      <w:r w:rsidRPr="004B3EB9">
        <w:rPr>
          <w:rFonts w:ascii="Times New Roman" w:hAnsi="Times New Roman"/>
          <w:sz w:val="24"/>
          <w:szCs w:val="24"/>
        </w:rPr>
        <w:t xml:space="preserve">likte </w:t>
      </w:r>
      <w:r w:rsidR="00594F00" w:rsidRPr="004B3EB9">
        <w:rPr>
          <w:rFonts w:ascii="Times New Roman" w:hAnsi="Times New Roman"/>
          <w:sz w:val="24"/>
          <w:szCs w:val="24"/>
        </w:rPr>
        <w:t>kull</w:t>
      </w:r>
      <w:r w:rsidRPr="004B3EB9">
        <w:rPr>
          <w:rFonts w:ascii="Times New Roman" w:hAnsi="Times New Roman"/>
          <w:sz w:val="24"/>
          <w:szCs w:val="24"/>
        </w:rPr>
        <w:t>an</w:t>
      </w:r>
      <w:r w:rsidR="00FA40FF" w:rsidRPr="004B3EB9">
        <w:rPr>
          <w:rFonts w:ascii="Times New Roman" w:hAnsi="Times New Roman"/>
          <w:sz w:val="24"/>
          <w:szCs w:val="24"/>
        </w:rPr>
        <w:t>ıl</w:t>
      </w:r>
      <w:r w:rsidRPr="004B3EB9">
        <w:rPr>
          <w:rFonts w:ascii="Times New Roman" w:hAnsi="Times New Roman"/>
          <w:sz w:val="24"/>
          <w:szCs w:val="24"/>
        </w:rPr>
        <w:t xml:space="preserve">an diğer </w:t>
      </w:r>
      <w:r w:rsidR="003176D1" w:rsidRPr="004B3EB9">
        <w:rPr>
          <w:rFonts w:ascii="Times New Roman" w:hAnsi="Times New Roman"/>
          <w:sz w:val="24"/>
          <w:szCs w:val="24"/>
        </w:rPr>
        <w:t>ila</w:t>
      </w:r>
      <w:r w:rsidRPr="004B3EB9">
        <w:rPr>
          <w:rFonts w:ascii="Times New Roman" w:hAnsi="Times New Roman"/>
          <w:sz w:val="24"/>
          <w:szCs w:val="24"/>
        </w:rPr>
        <w:t>ç</w:t>
      </w:r>
      <w:r w:rsidR="00791617" w:rsidRPr="004B3EB9">
        <w:rPr>
          <w:rFonts w:ascii="Times New Roman" w:hAnsi="Times New Roman"/>
          <w:sz w:val="24"/>
          <w:szCs w:val="24"/>
        </w:rPr>
        <w:t>ların</w:t>
      </w:r>
      <w:r w:rsidRPr="004B3EB9">
        <w:rPr>
          <w:rFonts w:ascii="Times New Roman" w:hAnsi="Times New Roman"/>
          <w:sz w:val="24"/>
          <w:szCs w:val="24"/>
        </w:rPr>
        <w:t xml:space="preserve"> gerek klerens, gerekse hacim üzerindeki etk</w:t>
      </w:r>
      <w:r w:rsidR="003176D1" w:rsidRPr="004B3EB9">
        <w:rPr>
          <w:rFonts w:ascii="Times New Roman" w:hAnsi="Times New Roman"/>
          <w:sz w:val="24"/>
          <w:szCs w:val="24"/>
        </w:rPr>
        <w:t>ile</w:t>
      </w:r>
      <w:r w:rsidRPr="004B3EB9">
        <w:rPr>
          <w:rFonts w:ascii="Times New Roman" w:hAnsi="Times New Roman"/>
          <w:sz w:val="24"/>
          <w:szCs w:val="24"/>
        </w:rPr>
        <w:t>rinin küçük olduğunu, doz ayarlamasına ihtiyaç bırakmadığı</w:t>
      </w:r>
      <w:r w:rsidR="00FA40FF" w:rsidRPr="004B3EB9">
        <w:rPr>
          <w:rFonts w:ascii="Times New Roman" w:hAnsi="Times New Roman"/>
          <w:sz w:val="24"/>
          <w:szCs w:val="24"/>
        </w:rPr>
        <w:t>nı</w:t>
      </w:r>
      <w:r w:rsidRPr="004B3EB9">
        <w:rPr>
          <w:rFonts w:ascii="Times New Roman" w:hAnsi="Times New Roman"/>
          <w:sz w:val="24"/>
          <w:szCs w:val="24"/>
        </w:rPr>
        <w:t xml:space="preserve"> göstermiştir.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Çocuklarda farmakokinetik</w:t>
      </w:r>
    </w:p>
    <w:p w:rsidR="00396DF1" w:rsidRPr="004B3EB9" w:rsidRDefault="00FA40FF" w:rsidP="00C86B5D">
      <w:pPr>
        <w:spacing w:after="0"/>
        <w:jc w:val="both"/>
        <w:rPr>
          <w:rFonts w:ascii="Times New Roman" w:hAnsi="Times New Roman"/>
          <w:sz w:val="24"/>
          <w:szCs w:val="24"/>
        </w:rPr>
      </w:pPr>
      <w:r w:rsidRPr="004B3EB9">
        <w:rPr>
          <w:rFonts w:ascii="Times New Roman" w:hAnsi="Times New Roman"/>
          <w:sz w:val="24"/>
          <w:szCs w:val="24"/>
        </w:rPr>
        <w:t>Bir</w:t>
      </w:r>
      <w:r w:rsidR="00396DF1" w:rsidRPr="004B3EB9">
        <w:rPr>
          <w:rFonts w:ascii="Times New Roman" w:hAnsi="Times New Roman"/>
          <w:sz w:val="24"/>
          <w:szCs w:val="24"/>
        </w:rPr>
        <w:t xml:space="preserve"> Faz </w:t>
      </w:r>
      <w:r w:rsidR="00396DF1" w:rsidRPr="004B3EB9">
        <w:rPr>
          <w:rFonts w:ascii="Times New Roman" w:hAnsi="Times New Roman"/>
          <w:bCs/>
          <w:sz w:val="24"/>
          <w:szCs w:val="24"/>
        </w:rPr>
        <w:t xml:space="preserve">I </w:t>
      </w:r>
      <w:r w:rsidR="00396DF1" w:rsidRPr="004B3EB9">
        <w:rPr>
          <w:rFonts w:ascii="Times New Roman" w:hAnsi="Times New Roman"/>
          <w:sz w:val="24"/>
          <w:szCs w:val="24"/>
        </w:rPr>
        <w:t xml:space="preserve">ve Faz </w:t>
      </w:r>
      <w:r w:rsidR="00396DF1" w:rsidRPr="004B3EB9">
        <w:rPr>
          <w:rFonts w:ascii="Times New Roman" w:hAnsi="Times New Roman"/>
          <w:bCs/>
          <w:sz w:val="24"/>
          <w:szCs w:val="24"/>
          <w:lang w:val="en-US"/>
        </w:rPr>
        <w:t xml:space="preserve">II </w:t>
      </w:r>
      <w:r w:rsidR="00594F00" w:rsidRPr="004B3EB9">
        <w:rPr>
          <w:rFonts w:ascii="Times New Roman" w:hAnsi="Times New Roman"/>
          <w:sz w:val="24"/>
          <w:szCs w:val="24"/>
        </w:rPr>
        <w:t>çalışma</w:t>
      </w:r>
      <w:r w:rsidR="00396DF1" w:rsidRPr="004B3EB9">
        <w:rPr>
          <w:rFonts w:ascii="Times New Roman" w:hAnsi="Times New Roman"/>
          <w:sz w:val="24"/>
          <w:szCs w:val="24"/>
        </w:rPr>
        <w:t>s</w:t>
      </w:r>
      <w:r w:rsidRPr="004B3EB9">
        <w:rPr>
          <w:rFonts w:ascii="Times New Roman" w:hAnsi="Times New Roman"/>
          <w:sz w:val="24"/>
          <w:szCs w:val="24"/>
        </w:rPr>
        <w:t>ın</w:t>
      </w:r>
      <w:r w:rsidR="00396DF1" w:rsidRPr="004B3EB9">
        <w:rPr>
          <w:rFonts w:ascii="Times New Roman" w:hAnsi="Times New Roman"/>
          <w:sz w:val="24"/>
          <w:szCs w:val="24"/>
        </w:rPr>
        <w:t>da oral imatinib, pediatrik hastalarda da, erişkin hastalardaki gibi hızla em</w:t>
      </w:r>
      <w:r w:rsidRPr="004B3EB9">
        <w:rPr>
          <w:rFonts w:ascii="Times New Roman" w:hAnsi="Times New Roman"/>
          <w:sz w:val="24"/>
          <w:szCs w:val="24"/>
        </w:rPr>
        <w:t>il</w:t>
      </w:r>
      <w:r w:rsidR="00396DF1" w:rsidRPr="004B3EB9">
        <w:rPr>
          <w:rFonts w:ascii="Times New Roman" w:hAnsi="Times New Roman"/>
          <w:sz w:val="24"/>
          <w:szCs w:val="24"/>
        </w:rPr>
        <w:t>mişt</w:t>
      </w:r>
      <w:r w:rsidRPr="004B3EB9">
        <w:rPr>
          <w:rFonts w:ascii="Times New Roman" w:hAnsi="Times New Roman"/>
          <w:sz w:val="24"/>
          <w:szCs w:val="24"/>
        </w:rPr>
        <w:t>ir</w:t>
      </w:r>
      <w:r w:rsidR="00396DF1" w:rsidRPr="004B3EB9">
        <w:rPr>
          <w:rFonts w:ascii="Times New Roman" w:hAnsi="Times New Roman"/>
          <w:sz w:val="24"/>
          <w:szCs w:val="24"/>
        </w:rPr>
        <w:t>. Çocuklarda 260 ve 340 mg/m</w:t>
      </w:r>
      <w:r w:rsidR="00396DF1" w:rsidRPr="004B3EB9">
        <w:rPr>
          <w:rFonts w:ascii="Times New Roman" w:hAnsi="Times New Roman"/>
          <w:sz w:val="24"/>
          <w:szCs w:val="24"/>
          <w:vertAlign w:val="superscript"/>
        </w:rPr>
        <w:t>2</w:t>
      </w:r>
      <w:r w:rsidR="00396DF1" w:rsidRPr="004B3EB9">
        <w:rPr>
          <w:rFonts w:ascii="Times New Roman" w:hAnsi="Times New Roman"/>
          <w:sz w:val="24"/>
          <w:szCs w:val="24"/>
        </w:rPr>
        <w:t xml:space="preserve"> imatinible elde ed</w:t>
      </w:r>
      <w:r w:rsidR="003176D1" w:rsidRPr="004B3EB9">
        <w:rPr>
          <w:rFonts w:ascii="Times New Roman" w:hAnsi="Times New Roman"/>
          <w:sz w:val="24"/>
          <w:szCs w:val="24"/>
        </w:rPr>
        <w:t>ile</w:t>
      </w:r>
      <w:r w:rsidR="00396DF1" w:rsidRPr="004B3EB9">
        <w:rPr>
          <w:rFonts w:ascii="Times New Roman" w:hAnsi="Times New Roman"/>
          <w:sz w:val="24"/>
          <w:szCs w:val="24"/>
        </w:rPr>
        <w:t>n EAA değerleri, erişkinlerde sırasıyla 400 ve 600 mg imatinible elde ed</w:t>
      </w:r>
      <w:r w:rsidR="003176D1" w:rsidRPr="004B3EB9">
        <w:rPr>
          <w:rFonts w:ascii="Times New Roman" w:hAnsi="Times New Roman"/>
          <w:sz w:val="24"/>
          <w:szCs w:val="24"/>
        </w:rPr>
        <w:t>ile</w:t>
      </w:r>
      <w:r w:rsidR="00396DF1" w:rsidRPr="004B3EB9">
        <w:rPr>
          <w:rFonts w:ascii="Times New Roman" w:hAnsi="Times New Roman"/>
          <w:sz w:val="24"/>
          <w:szCs w:val="24"/>
        </w:rPr>
        <w:t>nler gibidir. 340 mg/m</w:t>
      </w:r>
      <w:r w:rsidR="00396DF1" w:rsidRPr="004B3EB9">
        <w:rPr>
          <w:rFonts w:ascii="Times New Roman" w:hAnsi="Times New Roman"/>
          <w:sz w:val="24"/>
          <w:szCs w:val="24"/>
          <w:vertAlign w:val="superscript"/>
        </w:rPr>
        <w:t>2</w:t>
      </w:r>
      <w:r w:rsidR="00396DF1" w:rsidRPr="004B3EB9">
        <w:rPr>
          <w:rFonts w:ascii="Times New Roman" w:hAnsi="Times New Roman"/>
          <w:sz w:val="24"/>
          <w:szCs w:val="24"/>
        </w:rPr>
        <w:t xml:space="preserve"> imatinibin birin</w:t>
      </w:r>
      <w:r w:rsidR="00D1060A" w:rsidRPr="004B3EB9">
        <w:rPr>
          <w:rFonts w:ascii="Times New Roman" w:hAnsi="Times New Roman"/>
          <w:sz w:val="24"/>
          <w:szCs w:val="24"/>
        </w:rPr>
        <w:t>ci ve sekizinci günlerdeki EAA</w:t>
      </w:r>
      <w:r w:rsidR="00D1060A" w:rsidRPr="004B3EB9">
        <w:rPr>
          <w:rFonts w:ascii="Times New Roman" w:hAnsi="Times New Roman"/>
          <w:sz w:val="24"/>
          <w:szCs w:val="24"/>
          <w:vertAlign w:val="subscript"/>
        </w:rPr>
        <w:t>(</w:t>
      </w:r>
      <w:r w:rsidRPr="004B3EB9">
        <w:rPr>
          <w:rFonts w:ascii="Times New Roman" w:hAnsi="Times New Roman"/>
          <w:sz w:val="24"/>
          <w:szCs w:val="24"/>
          <w:vertAlign w:val="subscript"/>
        </w:rPr>
        <w:t>0</w:t>
      </w:r>
      <w:r w:rsidR="005D0157" w:rsidRPr="004B3EB9">
        <w:rPr>
          <w:rFonts w:ascii="Times New Roman" w:hAnsi="Times New Roman"/>
          <w:sz w:val="24"/>
          <w:szCs w:val="24"/>
          <w:vertAlign w:val="subscript"/>
        </w:rPr>
        <w:t xml:space="preserve">-24 </w:t>
      </w:r>
      <w:r w:rsidR="00396DF1" w:rsidRPr="004B3EB9">
        <w:rPr>
          <w:rFonts w:ascii="Times New Roman" w:hAnsi="Times New Roman"/>
          <w:sz w:val="24"/>
          <w:szCs w:val="24"/>
          <w:vertAlign w:val="subscript"/>
        </w:rPr>
        <w:t>saat)</w:t>
      </w:r>
      <w:r w:rsidR="00396DF1" w:rsidRPr="004B3EB9">
        <w:rPr>
          <w:rFonts w:ascii="Times New Roman" w:hAnsi="Times New Roman"/>
          <w:sz w:val="24"/>
          <w:szCs w:val="24"/>
        </w:rPr>
        <w:t xml:space="preserve"> değerleri bu </w:t>
      </w:r>
      <w:r w:rsidR="003176D1" w:rsidRPr="004B3EB9">
        <w:rPr>
          <w:rFonts w:ascii="Times New Roman" w:hAnsi="Times New Roman"/>
          <w:sz w:val="24"/>
          <w:szCs w:val="24"/>
        </w:rPr>
        <w:t>ila</w:t>
      </w:r>
      <w:r w:rsidR="00396DF1" w:rsidRPr="004B3EB9">
        <w:rPr>
          <w:rFonts w:ascii="Times New Roman" w:hAnsi="Times New Roman"/>
          <w:sz w:val="24"/>
          <w:szCs w:val="24"/>
        </w:rPr>
        <w:t xml:space="preserve">cın, tekrarlanan dozlardan sonra </w:t>
      </w:r>
      <w:proofErr w:type="gramStart"/>
      <w:r w:rsidR="00396DF1" w:rsidRPr="004B3EB9">
        <w:rPr>
          <w:rFonts w:ascii="Times New Roman" w:hAnsi="Times New Roman"/>
          <w:sz w:val="24"/>
          <w:szCs w:val="24"/>
        </w:rPr>
        <w:t>1.7</w:t>
      </w:r>
      <w:proofErr w:type="gramEnd"/>
      <w:r w:rsidR="00396DF1" w:rsidRPr="004B3EB9">
        <w:rPr>
          <w:rFonts w:ascii="Times New Roman" w:hAnsi="Times New Roman"/>
          <w:sz w:val="24"/>
          <w:szCs w:val="24"/>
        </w:rPr>
        <w:t xml:space="preserve"> kat biriktiğini göstermiştir.</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Organ fonksiyonu bozukluğu</w:t>
      </w:r>
    </w:p>
    <w:p w:rsidR="00396DF1" w:rsidRPr="004B3EB9" w:rsidRDefault="000E03E4" w:rsidP="00C86B5D">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matinib ve metabo</w:t>
      </w:r>
      <w:r w:rsidR="00FA40FF" w:rsidRPr="004B3EB9">
        <w:rPr>
          <w:rFonts w:ascii="Times New Roman" w:hAnsi="Times New Roman"/>
          <w:sz w:val="24"/>
          <w:szCs w:val="24"/>
        </w:rPr>
        <w:t>li</w:t>
      </w:r>
      <w:r w:rsidR="00396DF1" w:rsidRPr="004B3EB9">
        <w:rPr>
          <w:rFonts w:ascii="Times New Roman" w:hAnsi="Times New Roman"/>
          <w:sz w:val="24"/>
          <w:szCs w:val="24"/>
        </w:rPr>
        <w:t>tleri böbrek yoluyla anlam</w:t>
      </w:r>
      <w:r w:rsidR="00FA40FF" w:rsidRPr="004B3EB9">
        <w:rPr>
          <w:rFonts w:ascii="Times New Roman" w:hAnsi="Times New Roman"/>
          <w:sz w:val="24"/>
          <w:szCs w:val="24"/>
        </w:rPr>
        <w:t>lı</w:t>
      </w:r>
      <w:r w:rsidR="00396DF1" w:rsidRPr="004B3EB9">
        <w:rPr>
          <w:rFonts w:ascii="Times New Roman" w:hAnsi="Times New Roman"/>
          <w:sz w:val="24"/>
          <w:szCs w:val="24"/>
        </w:rPr>
        <w:t xml:space="preserve"> miktarda at</w:t>
      </w:r>
      <w:r w:rsidR="00FA40FF" w:rsidRPr="004B3EB9">
        <w:rPr>
          <w:rFonts w:ascii="Times New Roman" w:hAnsi="Times New Roman"/>
          <w:sz w:val="24"/>
          <w:szCs w:val="24"/>
        </w:rPr>
        <w:t>ıl</w:t>
      </w:r>
      <w:r w:rsidR="00396DF1" w:rsidRPr="004B3EB9">
        <w:rPr>
          <w:rFonts w:ascii="Times New Roman" w:hAnsi="Times New Roman"/>
          <w:sz w:val="24"/>
          <w:szCs w:val="24"/>
        </w:rPr>
        <w:t>mazlar.</w:t>
      </w:r>
      <w:r w:rsidR="00FA40FF" w:rsidRPr="004B3EB9">
        <w:rPr>
          <w:rFonts w:ascii="Times New Roman" w:hAnsi="Times New Roman"/>
          <w:sz w:val="24"/>
          <w:szCs w:val="24"/>
        </w:rPr>
        <w:t xml:space="preserve"> </w:t>
      </w:r>
      <w:r w:rsidR="00396DF1" w:rsidRPr="004B3EB9">
        <w:rPr>
          <w:rFonts w:ascii="Times New Roman" w:hAnsi="Times New Roman"/>
          <w:sz w:val="24"/>
          <w:szCs w:val="24"/>
        </w:rPr>
        <w:t xml:space="preserve">Böbrek fonksiyonlarında hafif ve orta şiddette bozukluk olan hastalar, böbrek </w:t>
      </w:r>
      <w:r w:rsidR="004A2419" w:rsidRPr="004B3EB9">
        <w:rPr>
          <w:rFonts w:ascii="Times New Roman" w:hAnsi="Times New Roman"/>
          <w:sz w:val="24"/>
          <w:szCs w:val="24"/>
        </w:rPr>
        <w:t>fonksiyonları</w:t>
      </w:r>
      <w:r w:rsidR="00396DF1" w:rsidRPr="004B3EB9">
        <w:rPr>
          <w:rFonts w:ascii="Times New Roman" w:hAnsi="Times New Roman"/>
          <w:sz w:val="24"/>
          <w:szCs w:val="24"/>
        </w:rPr>
        <w:t xml:space="preserve"> normal hastalardan daha yüksek plazma değerlerine sahip görünmekted</w:t>
      </w:r>
      <w:r w:rsidR="00FA40FF" w:rsidRPr="004B3EB9">
        <w:rPr>
          <w:rFonts w:ascii="Times New Roman" w:hAnsi="Times New Roman"/>
          <w:sz w:val="24"/>
          <w:szCs w:val="24"/>
        </w:rPr>
        <w:t>ir</w:t>
      </w:r>
      <w:r w:rsidR="00396DF1" w:rsidRPr="004B3EB9">
        <w:rPr>
          <w:rFonts w:ascii="Times New Roman" w:hAnsi="Times New Roman"/>
          <w:sz w:val="24"/>
          <w:szCs w:val="24"/>
        </w:rPr>
        <w:t xml:space="preserve">. Artış yaklaşık olarak </w:t>
      </w:r>
      <w:proofErr w:type="gramStart"/>
      <w:r w:rsidR="00396DF1" w:rsidRPr="004B3EB9">
        <w:rPr>
          <w:rFonts w:ascii="Times New Roman" w:hAnsi="Times New Roman"/>
          <w:sz w:val="24"/>
          <w:szCs w:val="24"/>
        </w:rPr>
        <w:t>1.5</w:t>
      </w:r>
      <w:proofErr w:type="gramEnd"/>
      <w:r w:rsidR="00396DF1" w:rsidRPr="004B3EB9">
        <w:rPr>
          <w:rFonts w:ascii="Times New Roman" w:hAnsi="Times New Roman"/>
          <w:sz w:val="24"/>
          <w:szCs w:val="24"/>
        </w:rPr>
        <w:t xml:space="preserve">-2 kattır ve imatinibin güçlü bir biçimde bağlandığı plazma AGP değerinde 1.5 katlık bir artışa karşılık gelir. Böbrek bozukluğu olan hastalarda imatinibin serbest </w:t>
      </w:r>
      <w:r w:rsidR="003176D1" w:rsidRPr="004B3EB9">
        <w:rPr>
          <w:rFonts w:ascii="Times New Roman" w:hAnsi="Times New Roman"/>
          <w:sz w:val="24"/>
          <w:szCs w:val="24"/>
        </w:rPr>
        <w:t>ila</w:t>
      </w:r>
      <w:r w:rsidR="00396DF1" w:rsidRPr="004B3EB9">
        <w:rPr>
          <w:rFonts w:ascii="Times New Roman" w:hAnsi="Times New Roman"/>
          <w:sz w:val="24"/>
          <w:szCs w:val="24"/>
        </w:rPr>
        <w:t xml:space="preserve">ç klerensi muhtemelen böbrek </w:t>
      </w:r>
      <w:r w:rsidR="004A2419" w:rsidRPr="004B3EB9">
        <w:rPr>
          <w:rFonts w:ascii="Times New Roman" w:hAnsi="Times New Roman"/>
          <w:sz w:val="24"/>
          <w:szCs w:val="24"/>
        </w:rPr>
        <w:t>fonksiyonları</w:t>
      </w:r>
      <w:r w:rsidR="00396DF1" w:rsidRPr="004B3EB9">
        <w:rPr>
          <w:rFonts w:ascii="Times New Roman" w:hAnsi="Times New Roman"/>
          <w:sz w:val="24"/>
          <w:szCs w:val="24"/>
        </w:rPr>
        <w:t xml:space="preserve"> normal hastalardakinin bir benzeridir çünkü böbrekler yoluyla atılım imatinib için minör bir </w:t>
      </w:r>
      <w:proofErr w:type="gramStart"/>
      <w:r w:rsidR="00396DF1" w:rsidRPr="004B3EB9">
        <w:rPr>
          <w:rFonts w:ascii="Times New Roman" w:hAnsi="Times New Roman"/>
          <w:sz w:val="24"/>
          <w:szCs w:val="24"/>
        </w:rPr>
        <w:t>eliminasyon</w:t>
      </w:r>
      <w:proofErr w:type="gramEnd"/>
      <w:r w:rsidR="00396DF1" w:rsidRPr="004B3EB9">
        <w:rPr>
          <w:rFonts w:ascii="Times New Roman" w:hAnsi="Times New Roman"/>
          <w:sz w:val="24"/>
          <w:szCs w:val="24"/>
        </w:rPr>
        <w:t xml:space="preserve"> yolunu oluşturmaktadır (bkz. 4.2 Pozoloji ve uygulama şek</w:t>
      </w:r>
      <w:r w:rsidR="00FA40FF" w:rsidRPr="004B3EB9">
        <w:rPr>
          <w:rFonts w:ascii="Times New Roman" w:hAnsi="Times New Roman"/>
          <w:sz w:val="24"/>
          <w:szCs w:val="24"/>
        </w:rPr>
        <w:t>li</w:t>
      </w:r>
      <w:r w:rsidR="00396DF1" w:rsidRPr="004B3EB9">
        <w:rPr>
          <w:rFonts w:ascii="Times New Roman" w:hAnsi="Times New Roman"/>
          <w:sz w:val="24"/>
          <w:szCs w:val="24"/>
        </w:rPr>
        <w:t xml:space="preserve">, 4.4 Özel </w:t>
      </w:r>
      <w:r w:rsidR="00594F00" w:rsidRPr="004B3EB9">
        <w:rPr>
          <w:rFonts w:ascii="Times New Roman" w:hAnsi="Times New Roman"/>
          <w:sz w:val="24"/>
          <w:szCs w:val="24"/>
        </w:rPr>
        <w:t>kull</w:t>
      </w:r>
      <w:r w:rsidR="00396DF1" w:rsidRPr="004B3EB9">
        <w:rPr>
          <w:rFonts w:ascii="Times New Roman" w:hAnsi="Times New Roman"/>
          <w:sz w:val="24"/>
          <w:szCs w:val="24"/>
        </w:rPr>
        <w:t>anım uyarıla</w:t>
      </w:r>
      <w:r w:rsidR="00FA40FF" w:rsidRPr="004B3EB9">
        <w:rPr>
          <w:rFonts w:ascii="Times New Roman" w:hAnsi="Times New Roman"/>
          <w:sz w:val="24"/>
          <w:szCs w:val="24"/>
        </w:rPr>
        <w:t>rı</w:t>
      </w:r>
      <w:r w:rsidR="00396DF1" w:rsidRPr="004B3EB9">
        <w:rPr>
          <w:rFonts w:ascii="Times New Roman" w:hAnsi="Times New Roman"/>
          <w:sz w:val="24"/>
          <w:szCs w:val="24"/>
        </w:rPr>
        <w:t xml:space="preserve"> ve önlemleri ve 5.1 Farmakodinamik özellikler).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Farmakokinetik analiz sonuçlarının kişiden kişiye değişikliklerin söz konusu olduğunu göstermesine rağmen, değiş</w:t>
      </w:r>
      <w:r w:rsidR="00007767" w:rsidRPr="004B3EB9">
        <w:rPr>
          <w:rFonts w:ascii="Times New Roman" w:hAnsi="Times New Roman"/>
          <w:sz w:val="24"/>
          <w:szCs w:val="24"/>
        </w:rPr>
        <w:t>ik</w:t>
      </w:r>
      <w:r w:rsidRPr="004B3EB9">
        <w:rPr>
          <w:rFonts w:ascii="Times New Roman" w:hAnsi="Times New Roman"/>
          <w:sz w:val="24"/>
          <w:szCs w:val="24"/>
        </w:rPr>
        <w:t xml:space="preserve"> derecelerde karaciğer yetersizliği olan hastalardaki imatinibe ortalama maruz ka</w:t>
      </w:r>
      <w:r w:rsidR="00007767" w:rsidRPr="004B3EB9">
        <w:rPr>
          <w:rFonts w:ascii="Times New Roman" w:hAnsi="Times New Roman"/>
          <w:sz w:val="24"/>
          <w:szCs w:val="24"/>
        </w:rPr>
        <w:t>lım</w:t>
      </w:r>
      <w:r w:rsidRPr="004B3EB9">
        <w:rPr>
          <w:rFonts w:ascii="Times New Roman" w:hAnsi="Times New Roman"/>
          <w:sz w:val="24"/>
          <w:szCs w:val="24"/>
        </w:rPr>
        <w:t xml:space="preserve">, karaciğer </w:t>
      </w:r>
      <w:r w:rsidR="004A2419" w:rsidRPr="004B3EB9">
        <w:rPr>
          <w:rFonts w:ascii="Times New Roman" w:hAnsi="Times New Roman"/>
          <w:sz w:val="24"/>
          <w:szCs w:val="24"/>
        </w:rPr>
        <w:t>fonksiyonları</w:t>
      </w:r>
      <w:r w:rsidRPr="004B3EB9">
        <w:rPr>
          <w:rFonts w:ascii="Times New Roman" w:hAnsi="Times New Roman"/>
          <w:sz w:val="24"/>
          <w:szCs w:val="24"/>
        </w:rPr>
        <w:t xml:space="preserve"> normal olan hastalara kıyasla yükselmemiştir (</w:t>
      </w:r>
      <w:r w:rsidR="00FA40FF" w:rsidRPr="004B3EB9">
        <w:rPr>
          <w:rFonts w:ascii="Times New Roman" w:hAnsi="Times New Roman"/>
          <w:sz w:val="24"/>
          <w:szCs w:val="24"/>
        </w:rPr>
        <w:t xml:space="preserve">bkz </w:t>
      </w:r>
      <w:proofErr w:type="gramStart"/>
      <w:r w:rsidR="00FA40FF" w:rsidRPr="004B3EB9">
        <w:rPr>
          <w:rFonts w:ascii="Times New Roman" w:hAnsi="Times New Roman"/>
          <w:sz w:val="24"/>
          <w:szCs w:val="24"/>
        </w:rPr>
        <w:t>4.2</w:t>
      </w:r>
      <w:proofErr w:type="gramEnd"/>
      <w:r w:rsidR="00FA40FF" w:rsidRPr="004B3EB9">
        <w:rPr>
          <w:rFonts w:ascii="Times New Roman" w:hAnsi="Times New Roman"/>
          <w:sz w:val="24"/>
          <w:szCs w:val="24"/>
        </w:rPr>
        <w:t xml:space="preserve"> Pozoloji ve uygulama şekli</w:t>
      </w:r>
      <w:r w:rsidRPr="004B3EB9">
        <w:rPr>
          <w:rFonts w:ascii="Times New Roman" w:hAnsi="Times New Roman"/>
          <w:sz w:val="24"/>
          <w:szCs w:val="24"/>
        </w:rPr>
        <w:t xml:space="preserve">, 4.4 Özel kullanım </w:t>
      </w:r>
      <w:r w:rsidR="008B5727" w:rsidRPr="004B3EB9">
        <w:rPr>
          <w:rFonts w:ascii="Times New Roman" w:hAnsi="Times New Roman"/>
          <w:sz w:val="24"/>
          <w:szCs w:val="24"/>
        </w:rPr>
        <w:t>uya</w:t>
      </w:r>
      <w:r w:rsidR="000E03E4" w:rsidRPr="004B3EB9">
        <w:rPr>
          <w:rFonts w:ascii="Times New Roman" w:hAnsi="Times New Roman"/>
          <w:sz w:val="24"/>
          <w:szCs w:val="24"/>
        </w:rPr>
        <w:t>rı</w:t>
      </w:r>
      <w:r w:rsidR="008B5727" w:rsidRPr="004B3EB9">
        <w:rPr>
          <w:rFonts w:ascii="Times New Roman" w:hAnsi="Times New Roman"/>
          <w:sz w:val="24"/>
          <w:szCs w:val="24"/>
        </w:rPr>
        <w:t>ları</w:t>
      </w:r>
      <w:r w:rsidRPr="004B3EB9">
        <w:rPr>
          <w:rFonts w:ascii="Times New Roman" w:hAnsi="Times New Roman"/>
          <w:sz w:val="24"/>
          <w:szCs w:val="24"/>
        </w:rPr>
        <w:t xml:space="preserve"> ve önlemleri, 4.8 İstenmeyen Etk</w:t>
      </w:r>
      <w:r w:rsidR="003176D1" w:rsidRPr="004B3EB9">
        <w:rPr>
          <w:rFonts w:ascii="Times New Roman" w:hAnsi="Times New Roman"/>
          <w:sz w:val="24"/>
          <w:szCs w:val="24"/>
        </w:rPr>
        <w:t>ile</w:t>
      </w:r>
      <w:r w:rsidRPr="004B3EB9">
        <w:rPr>
          <w:rFonts w:ascii="Times New Roman" w:hAnsi="Times New Roman"/>
          <w:sz w:val="24"/>
          <w:szCs w:val="24"/>
        </w:rPr>
        <w:t>r, 5.1 Farmakodinamik Özell</w:t>
      </w:r>
      <w:r w:rsidR="00FA40FF" w:rsidRPr="004B3EB9">
        <w:rPr>
          <w:rFonts w:ascii="Times New Roman" w:hAnsi="Times New Roman"/>
          <w:sz w:val="24"/>
          <w:szCs w:val="24"/>
        </w:rPr>
        <w:t>ikler ve 5.2 Farmakokinetik Özell</w:t>
      </w:r>
      <w:r w:rsidRPr="004B3EB9">
        <w:rPr>
          <w:rFonts w:ascii="Times New Roman" w:hAnsi="Times New Roman"/>
          <w:sz w:val="24"/>
          <w:szCs w:val="24"/>
        </w:rPr>
        <w:t>ikler bölümleri)</w:t>
      </w:r>
    </w:p>
    <w:p w:rsidR="00F36470" w:rsidRPr="004B3EB9" w:rsidRDefault="00F36470"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5.3.</w:t>
      </w:r>
      <w:r w:rsidR="00791617" w:rsidRPr="004B3EB9">
        <w:rPr>
          <w:rFonts w:ascii="Times New Roman" w:hAnsi="Times New Roman"/>
          <w:b/>
          <w:bCs/>
          <w:sz w:val="24"/>
          <w:szCs w:val="24"/>
        </w:rPr>
        <w:t xml:space="preserve"> </w:t>
      </w:r>
      <w:r w:rsidRPr="004B3EB9">
        <w:rPr>
          <w:rFonts w:ascii="Times New Roman" w:hAnsi="Times New Roman"/>
          <w:b/>
          <w:bCs/>
          <w:sz w:val="24"/>
          <w:szCs w:val="24"/>
        </w:rPr>
        <w:t>Klinik öncesi güven</w:t>
      </w:r>
      <w:r w:rsidR="000E03E4" w:rsidRPr="004B3EB9">
        <w:rPr>
          <w:rFonts w:ascii="Times New Roman" w:hAnsi="Times New Roman"/>
          <w:b/>
          <w:bCs/>
          <w:sz w:val="24"/>
          <w:szCs w:val="24"/>
        </w:rPr>
        <w:t>li</w:t>
      </w:r>
      <w:r w:rsidRPr="004B3EB9">
        <w:rPr>
          <w:rFonts w:ascii="Times New Roman" w:hAnsi="Times New Roman"/>
          <w:b/>
          <w:bCs/>
          <w:sz w:val="24"/>
          <w:szCs w:val="24"/>
        </w:rPr>
        <w:t>lik verileri</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İmatinibin güven</w:t>
      </w:r>
      <w:r w:rsidR="00FA40FF" w:rsidRPr="004B3EB9">
        <w:rPr>
          <w:rFonts w:ascii="Times New Roman" w:hAnsi="Times New Roman"/>
          <w:sz w:val="24"/>
          <w:szCs w:val="24"/>
        </w:rPr>
        <w:t>lili</w:t>
      </w:r>
      <w:r w:rsidRPr="004B3EB9">
        <w:rPr>
          <w:rFonts w:ascii="Times New Roman" w:hAnsi="Times New Roman"/>
          <w:sz w:val="24"/>
          <w:szCs w:val="24"/>
        </w:rPr>
        <w:t xml:space="preserve">k </w:t>
      </w:r>
      <w:proofErr w:type="gramStart"/>
      <w:r w:rsidRPr="004B3EB9">
        <w:rPr>
          <w:rFonts w:ascii="Times New Roman" w:hAnsi="Times New Roman"/>
          <w:sz w:val="24"/>
          <w:szCs w:val="24"/>
        </w:rPr>
        <w:t>farmakolojisi</w:t>
      </w:r>
      <w:proofErr w:type="gramEnd"/>
      <w:r w:rsidRPr="004B3EB9">
        <w:rPr>
          <w:rFonts w:ascii="Times New Roman" w:hAnsi="Times New Roman"/>
          <w:sz w:val="24"/>
          <w:szCs w:val="24"/>
        </w:rPr>
        <w:t>, tekrarlanan doz toksisitesi, genotoksisite ve üreme toksisitesi çalışmalarında değerlendiri</w:t>
      </w:r>
      <w:r w:rsidR="00FA40FF" w:rsidRPr="004B3EB9">
        <w:rPr>
          <w:rFonts w:ascii="Times New Roman" w:hAnsi="Times New Roman"/>
          <w:sz w:val="24"/>
          <w:szCs w:val="24"/>
        </w:rPr>
        <w:t>lm</w:t>
      </w:r>
      <w:r w:rsidRPr="004B3EB9">
        <w:rPr>
          <w:rFonts w:ascii="Times New Roman" w:hAnsi="Times New Roman"/>
          <w:sz w:val="24"/>
          <w:szCs w:val="24"/>
        </w:rPr>
        <w:t>işt</w:t>
      </w:r>
      <w:r w:rsidR="00FA40FF" w:rsidRPr="004B3EB9">
        <w:rPr>
          <w:rFonts w:ascii="Times New Roman" w:hAnsi="Times New Roman"/>
          <w:sz w:val="24"/>
          <w:szCs w:val="24"/>
        </w:rPr>
        <w:t>ir. Kemik ili</w:t>
      </w:r>
      <w:r w:rsidRPr="004B3EB9">
        <w:rPr>
          <w:rFonts w:ascii="Times New Roman" w:hAnsi="Times New Roman"/>
          <w:sz w:val="24"/>
          <w:szCs w:val="24"/>
        </w:rPr>
        <w:t>ği</w:t>
      </w:r>
      <w:r w:rsidR="00426C7C">
        <w:rPr>
          <w:rFonts w:ascii="Times New Roman" w:hAnsi="Times New Roman"/>
          <w:sz w:val="24"/>
          <w:szCs w:val="24"/>
        </w:rPr>
        <w:t>,</w:t>
      </w:r>
      <w:r w:rsidR="007037FB" w:rsidRPr="004B3EB9">
        <w:rPr>
          <w:rFonts w:ascii="Times New Roman" w:hAnsi="Times New Roman"/>
          <w:sz w:val="24"/>
          <w:szCs w:val="24"/>
        </w:rPr>
        <w:t xml:space="preserve"> </w:t>
      </w:r>
      <w:r w:rsidRPr="004B3EB9">
        <w:rPr>
          <w:rFonts w:ascii="Times New Roman" w:hAnsi="Times New Roman"/>
          <w:sz w:val="24"/>
          <w:szCs w:val="24"/>
        </w:rPr>
        <w:t>periferik kan</w:t>
      </w:r>
      <w:r w:rsidR="00426C7C">
        <w:rPr>
          <w:rFonts w:ascii="Times New Roman" w:hAnsi="Times New Roman"/>
          <w:sz w:val="24"/>
          <w:szCs w:val="24"/>
        </w:rPr>
        <w:t>, lenfoid doku, gonadlar ve gastrointestinal kanal,</w:t>
      </w:r>
      <w:r w:rsidR="007037FB" w:rsidRPr="004B3EB9">
        <w:rPr>
          <w:rFonts w:ascii="Times New Roman" w:hAnsi="Times New Roman"/>
          <w:sz w:val="24"/>
          <w:szCs w:val="24"/>
        </w:rPr>
        <w:t xml:space="preserve"> </w:t>
      </w:r>
      <w:r w:rsidRPr="004B3EB9">
        <w:rPr>
          <w:rFonts w:ascii="Times New Roman" w:hAnsi="Times New Roman"/>
          <w:sz w:val="24"/>
          <w:szCs w:val="24"/>
        </w:rPr>
        <w:t>imatinibin farmakolojik etkisi altında kalan hedef-organlardandır. Diğer hedef organlar aras</w:t>
      </w:r>
      <w:r w:rsidR="00FA40FF" w:rsidRPr="004B3EB9">
        <w:rPr>
          <w:rFonts w:ascii="Times New Roman" w:hAnsi="Times New Roman"/>
          <w:sz w:val="24"/>
          <w:szCs w:val="24"/>
        </w:rPr>
        <w:t>ın</w:t>
      </w:r>
      <w:r w:rsidRPr="004B3EB9">
        <w:rPr>
          <w:rFonts w:ascii="Times New Roman" w:hAnsi="Times New Roman"/>
          <w:sz w:val="24"/>
          <w:szCs w:val="24"/>
        </w:rPr>
        <w:t>da karaciğer ve böbrek yer almaktadır.</w:t>
      </w:r>
    </w:p>
    <w:p w:rsidR="00426C7C" w:rsidRDefault="00426C7C" w:rsidP="00C86B5D">
      <w:pPr>
        <w:spacing w:after="0"/>
        <w:jc w:val="both"/>
        <w:rPr>
          <w:rFonts w:ascii="Times New Roman" w:hAnsi="Times New Roman"/>
          <w:sz w:val="24"/>
          <w:szCs w:val="24"/>
        </w:rPr>
      </w:pP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İmatinib, sıçanlarda embriyotoksik ve teratojen etki göstermiştir.</w:t>
      </w:r>
      <w:r w:rsidR="00426C7C">
        <w:rPr>
          <w:rFonts w:ascii="Times New Roman" w:hAnsi="Times New Roman"/>
          <w:sz w:val="24"/>
          <w:szCs w:val="24"/>
        </w:rPr>
        <w:t xml:space="preserve"> Preklinik fertilite ve erken embriyonik gelişim çalışmasında fertilite etkilenmemiştir; diğer yandan, yüksek doz uygulanmış erkek sıçanlarda daha düşük testis ve epididimal ağırlıklar ve azalmış hareketli sperm sayısı gözlenmiştir. Sıçanlarda preklinik pre ve postnatal çalışmada, ilk nesil yavrularda da fertilite imatinibden etkilenmemiştir.</w:t>
      </w:r>
    </w:p>
    <w:p w:rsidR="00426C7C" w:rsidRDefault="00426C7C" w:rsidP="00C86B5D">
      <w:pPr>
        <w:spacing w:after="0"/>
        <w:jc w:val="both"/>
        <w:rPr>
          <w:rFonts w:ascii="Times New Roman" w:hAnsi="Times New Roman"/>
          <w:sz w:val="24"/>
          <w:szCs w:val="24"/>
        </w:rPr>
      </w:pPr>
    </w:p>
    <w:p w:rsidR="00426C7C" w:rsidRDefault="00426C7C" w:rsidP="00C86B5D">
      <w:pPr>
        <w:spacing w:after="0"/>
        <w:jc w:val="both"/>
        <w:rPr>
          <w:rFonts w:ascii="Times New Roman" w:hAnsi="Times New Roman"/>
          <w:sz w:val="24"/>
          <w:szCs w:val="24"/>
        </w:rPr>
      </w:pPr>
      <w:r>
        <w:rPr>
          <w:rFonts w:ascii="Times New Roman" w:hAnsi="Times New Roman"/>
          <w:sz w:val="24"/>
          <w:szCs w:val="24"/>
        </w:rPr>
        <w:t>Sıçanlarda juvenil gelişim toksikolojisi çalışmasında yeni hedef organ belirlenmemiştir. (doğum sonrası 10 ila 70. gün). Juvenil toksikoloji çalışmasında, ortalama pediyatrik maruziyet olarak önerilen en yüksek doz olan 340 mg/m</w:t>
      </w:r>
      <w:r w:rsidRPr="00426C7C">
        <w:rPr>
          <w:rFonts w:ascii="Times New Roman" w:hAnsi="Times New Roman"/>
          <w:sz w:val="24"/>
          <w:szCs w:val="24"/>
          <w:vertAlign w:val="superscript"/>
        </w:rPr>
        <w:t>2</w:t>
      </w:r>
      <w:r>
        <w:rPr>
          <w:rFonts w:ascii="Times New Roman" w:hAnsi="Times New Roman"/>
          <w:sz w:val="24"/>
          <w:szCs w:val="24"/>
        </w:rPr>
        <w:t xml:space="preserve"> düzeyinin yaklaşık</w:t>
      </w:r>
      <w:r w:rsidR="00C0678F">
        <w:rPr>
          <w:rFonts w:ascii="Times New Roman" w:hAnsi="Times New Roman"/>
          <w:sz w:val="24"/>
          <w:szCs w:val="24"/>
        </w:rPr>
        <w:t xml:space="preserve"> </w:t>
      </w:r>
      <w:proofErr w:type="gramStart"/>
      <w:r w:rsidR="00C0678F">
        <w:rPr>
          <w:rFonts w:ascii="Times New Roman" w:hAnsi="Times New Roman"/>
          <w:sz w:val="24"/>
          <w:szCs w:val="24"/>
        </w:rPr>
        <w:t>0.3</w:t>
      </w:r>
      <w:proofErr w:type="gramEnd"/>
      <w:r w:rsidR="00C0678F">
        <w:rPr>
          <w:rFonts w:ascii="Times New Roman" w:hAnsi="Times New Roman"/>
          <w:sz w:val="24"/>
          <w:szCs w:val="24"/>
        </w:rPr>
        <w:t xml:space="preserve"> ila 2 katı düzeylerde, büyüme üzerinde geçici etkiler ve vaginal açılma ve prepusyal ayrılmada gecikme gözlenmiştir. Ayrıca, ortalama pediyatrik maruziyet olarak önerilen en yüksek doz olan 340 mg/m</w:t>
      </w:r>
      <w:r w:rsidR="00C0678F" w:rsidRPr="00C0678F">
        <w:rPr>
          <w:rFonts w:ascii="Times New Roman" w:hAnsi="Times New Roman"/>
          <w:sz w:val="24"/>
          <w:szCs w:val="24"/>
          <w:vertAlign w:val="superscript"/>
        </w:rPr>
        <w:t>2</w:t>
      </w:r>
      <w:r w:rsidR="00C0678F">
        <w:rPr>
          <w:rFonts w:ascii="Times New Roman" w:hAnsi="Times New Roman"/>
          <w:sz w:val="24"/>
          <w:szCs w:val="24"/>
        </w:rPr>
        <w:t xml:space="preserve"> düzeyinin yaklaşık 2 katı düzeylerde, juvenil hayvanlarda (yaklaşık olarak sütten kesilme döneminde) mortalite gözlemlenmiştir.</w:t>
      </w:r>
    </w:p>
    <w:p w:rsidR="00C0678F" w:rsidRPr="004B3EB9" w:rsidRDefault="00C0678F" w:rsidP="00C86B5D">
      <w:pPr>
        <w:spacing w:after="0"/>
        <w:jc w:val="both"/>
        <w:rPr>
          <w:rFonts w:ascii="Times New Roman" w:hAnsi="Times New Roman"/>
          <w:sz w:val="24"/>
          <w:szCs w:val="24"/>
        </w:rPr>
      </w:pPr>
    </w:p>
    <w:p w:rsidR="00396DF1" w:rsidRPr="004B3EB9" w:rsidRDefault="00FA40FF" w:rsidP="00C86B5D">
      <w:pPr>
        <w:spacing w:after="0"/>
        <w:jc w:val="both"/>
        <w:rPr>
          <w:rFonts w:ascii="Times New Roman" w:hAnsi="Times New Roman"/>
          <w:sz w:val="24"/>
          <w:szCs w:val="24"/>
        </w:rPr>
      </w:pPr>
      <w:r w:rsidRPr="004B3EB9">
        <w:rPr>
          <w:rFonts w:ascii="Times New Roman" w:hAnsi="Times New Roman"/>
          <w:sz w:val="24"/>
          <w:szCs w:val="24"/>
        </w:rPr>
        <w:t>2 yıllı</w:t>
      </w:r>
      <w:r w:rsidR="00396DF1" w:rsidRPr="004B3EB9">
        <w:rPr>
          <w:rFonts w:ascii="Times New Roman" w:hAnsi="Times New Roman"/>
          <w:sz w:val="24"/>
          <w:szCs w:val="24"/>
        </w:rPr>
        <w:t xml:space="preserve">k sıçan karsinojenisite </w:t>
      </w:r>
      <w:r w:rsidR="00594F00" w:rsidRPr="004B3EB9">
        <w:rPr>
          <w:rFonts w:ascii="Times New Roman" w:hAnsi="Times New Roman"/>
          <w:sz w:val="24"/>
          <w:szCs w:val="24"/>
        </w:rPr>
        <w:t>çalışma</w:t>
      </w:r>
      <w:r w:rsidR="00396DF1" w:rsidRPr="004B3EB9">
        <w:rPr>
          <w:rFonts w:ascii="Times New Roman" w:hAnsi="Times New Roman"/>
          <w:sz w:val="24"/>
          <w:szCs w:val="24"/>
        </w:rPr>
        <w:t>s</w:t>
      </w:r>
      <w:r w:rsidRPr="004B3EB9">
        <w:rPr>
          <w:rFonts w:ascii="Times New Roman" w:hAnsi="Times New Roman"/>
          <w:sz w:val="24"/>
          <w:szCs w:val="24"/>
        </w:rPr>
        <w:t>ın</w:t>
      </w:r>
      <w:r w:rsidR="00396DF1" w:rsidRPr="004B3EB9">
        <w:rPr>
          <w:rFonts w:ascii="Times New Roman" w:hAnsi="Times New Roman"/>
          <w:sz w:val="24"/>
          <w:szCs w:val="24"/>
        </w:rPr>
        <w:t>da 15, 30 ve 60 mg/kg/gün olarak imatinib uygulanması, erkeklerde 60 mg/kg/gün dozunda ve diş</w:t>
      </w:r>
      <w:r w:rsidR="003176D1" w:rsidRPr="004B3EB9">
        <w:rPr>
          <w:rFonts w:ascii="Times New Roman" w:hAnsi="Times New Roman"/>
          <w:sz w:val="24"/>
          <w:szCs w:val="24"/>
        </w:rPr>
        <w:t>ile</w:t>
      </w:r>
      <w:r w:rsidR="00396DF1" w:rsidRPr="004B3EB9">
        <w:rPr>
          <w:rFonts w:ascii="Times New Roman" w:hAnsi="Times New Roman"/>
          <w:sz w:val="24"/>
          <w:szCs w:val="24"/>
        </w:rPr>
        <w:t xml:space="preserve">rde </w:t>
      </w:r>
      <w:r w:rsidRPr="004B3EB9">
        <w:rPr>
          <w:rFonts w:ascii="Times New Roman" w:hAnsi="Times New Roman"/>
          <w:sz w:val="24"/>
          <w:szCs w:val="24"/>
        </w:rPr>
        <w:t>≥</w:t>
      </w:r>
      <w:r w:rsidR="00396DF1" w:rsidRPr="004B3EB9">
        <w:rPr>
          <w:rFonts w:ascii="Times New Roman" w:hAnsi="Times New Roman"/>
          <w:sz w:val="24"/>
          <w:szCs w:val="24"/>
        </w:rPr>
        <w:t xml:space="preserve"> 30 mg/kg/gün dozunda yaşam süresi üzerinde istatistiksel açıdan anlam</w:t>
      </w:r>
      <w:r w:rsidRPr="004B3EB9">
        <w:rPr>
          <w:rFonts w:ascii="Times New Roman" w:hAnsi="Times New Roman"/>
          <w:sz w:val="24"/>
          <w:szCs w:val="24"/>
        </w:rPr>
        <w:t>lı</w:t>
      </w:r>
      <w:r w:rsidR="00396DF1" w:rsidRPr="004B3EB9">
        <w:rPr>
          <w:rFonts w:ascii="Times New Roman" w:hAnsi="Times New Roman"/>
          <w:sz w:val="24"/>
          <w:szCs w:val="24"/>
        </w:rPr>
        <w:t xml:space="preserve"> azalmaya neden olmuştur. Ölenlerde yapılan histopatolojik inceleme, ölümün temel nedeni ya da öldürülme nedeni olarak kardiyomiyopati (her iki cinsiyet), kronik ilerleyici nefropati (diş</w:t>
      </w:r>
      <w:r w:rsidR="003176D1" w:rsidRPr="004B3EB9">
        <w:rPr>
          <w:rFonts w:ascii="Times New Roman" w:hAnsi="Times New Roman"/>
          <w:sz w:val="24"/>
          <w:szCs w:val="24"/>
        </w:rPr>
        <w:t>ile</w:t>
      </w:r>
      <w:r w:rsidR="00396DF1" w:rsidRPr="004B3EB9">
        <w:rPr>
          <w:rFonts w:ascii="Times New Roman" w:hAnsi="Times New Roman"/>
          <w:sz w:val="24"/>
          <w:szCs w:val="24"/>
        </w:rPr>
        <w:t>r) ve prepusyal bez papi</w:t>
      </w:r>
      <w:r w:rsidRPr="004B3EB9">
        <w:rPr>
          <w:rFonts w:ascii="Times New Roman" w:hAnsi="Times New Roman"/>
          <w:sz w:val="24"/>
          <w:szCs w:val="24"/>
        </w:rPr>
        <w:t>ll</w:t>
      </w:r>
      <w:r w:rsidR="00396DF1" w:rsidRPr="004B3EB9">
        <w:rPr>
          <w:rFonts w:ascii="Times New Roman" w:hAnsi="Times New Roman"/>
          <w:sz w:val="24"/>
          <w:szCs w:val="24"/>
        </w:rPr>
        <w:t>omunu</w:t>
      </w:r>
      <w:r w:rsidR="00791617" w:rsidRPr="004B3EB9">
        <w:rPr>
          <w:rFonts w:ascii="Times New Roman" w:hAnsi="Times New Roman"/>
          <w:sz w:val="24"/>
          <w:szCs w:val="24"/>
        </w:rPr>
        <w:t xml:space="preserve"> </w:t>
      </w:r>
      <w:r w:rsidR="00396DF1" w:rsidRPr="004B3EB9">
        <w:rPr>
          <w:rFonts w:ascii="Times New Roman" w:hAnsi="Times New Roman"/>
          <w:sz w:val="24"/>
          <w:szCs w:val="24"/>
        </w:rPr>
        <w:t>ortaya koymuştur.</w:t>
      </w:r>
      <w:r w:rsidR="00791617" w:rsidRPr="004B3EB9">
        <w:rPr>
          <w:rFonts w:ascii="Times New Roman" w:hAnsi="Times New Roman"/>
          <w:sz w:val="24"/>
          <w:szCs w:val="24"/>
        </w:rPr>
        <w:t xml:space="preserve"> </w:t>
      </w:r>
      <w:r w:rsidR="00396DF1" w:rsidRPr="004B3EB9">
        <w:rPr>
          <w:rFonts w:ascii="Times New Roman" w:hAnsi="Times New Roman"/>
          <w:sz w:val="24"/>
          <w:szCs w:val="24"/>
        </w:rPr>
        <w:t>Neoplastik değişiklikler</w:t>
      </w:r>
      <w:r w:rsidR="00791617" w:rsidRPr="004B3EB9">
        <w:rPr>
          <w:rFonts w:ascii="Times New Roman" w:hAnsi="Times New Roman"/>
          <w:sz w:val="24"/>
          <w:szCs w:val="24"/>
        </w:rPr>
        <w:t xml:space="preserve"> </w:t>
      </w:r>
      <w:r w:rsidR="00396DF1" w:rsidRPr="004B3EB9">
        <w:rPr>
          <w:rFonts w:ascii="Times New Roman" w:hAnsi="Times New Roman"/>
          <w:sz w:val="24"/>
          <w:szCs w:val="24"/>
        </w:rPr>
        <w:t>açısından hedef organlar böbrekler, mesane, üretra, prepusyal ve klitoral bez, ince bağırsak, paratiroid bezleri</w:t>
      </w:r>
      <w:r w:rsidRPr="004B3EB9">
        <w:rPr>
          <w:rFonts w:ascii="Times New Roman" w:hAnsi="Times New Roman"/>
          <w:sz w:val="24"/>
          <w:szCs w:val="24"/>
        </w:rPr>
        <w:t>, adrenal bezler ve glandüler-olm</w:t>
      </w:r>
      <w:r w:rsidR="00396DF1" w:rsidRPr="004B3EB9">
        <w:rPr>
          <w:rFonts w:ascii="Times New Roman" w:hAnsi="Times New Roman"/>
          <w:sz w:val="24"/>
          <w:szCs w:val="24"/>
        </w:rPr>
        <w:t>ayan mide olmuştur. Neo</w:t>
      </w:r>
      <w:r w:rsidRPr="004B3EB9">
        <w:rPr>
          <w:rFonts w:ascii="Times New Roman" w:hAnsi="Times New Roman"/>
          <w:sz w:val="24"/>
          <w:szCs w:val="24"/>
        </w:rPr>
        <w:t>plastik lezyonlar bulunan çeşitli</w:t>
      </w:r>
      <w:r w:rsidR="00396DF1" w:rsidRPr="004B3EB9">
        <w:rPr>
          <w:rFonts w:ascii="Times New Roman" w:hAnsi="Times New Roman"/>
          <w:sz w:val="24"/>
          <w:szCs w:val="24"/>
        </w:rPr>
        <w:t xml:space="preserve"> hedef organlardaki etki görülmeyen düzeyler (NOEL) şu şekilde saptanmıştır: böbrekler, mesane, üretra, ince bağırsak, paratiroid bezleri</w:t>
      </w:r>
      <w:r w:rsidRPr="004B3EB9">
        <w:rPr>
          <w:rFonts w:ascii="Times New Roman" w:hAnsi="Times New Roman"/>
          <w:sz w:val="24"/>
          <w:szCs w:val="24"/>
        </w:rPr>
        <w:t>, adrenal bezler ve glandüler-olm</w:t>
      </w:r>
      <w:r w:rsidR="00396DF1" w:rsidRPr="004B3EB9">
        <w:rPr>
          <w:rFonts w:ascii="Times New Roman" w:hAnsi="Times New Roman"/>
          <w:sz w:val="24"/>
          <w:szCs w:val="24"/>
        </w:rPr>
        <w:t>ayan mide için 30 mg/kg/gün ve prepusyal ve k</w:t>
      </w:r>
      <w:r w:rsidRPr="004B3EB9">
        <w:rPr>
          <w:rFonts w:ascii="Times New Roman" w:hAnsi="Times New Roman"/>
          <w:sz w:val="24"/>
          <w:szCs w:val="24"/>
        </w:rPr>
        <w:t>li</w:t>
      </w:r>
      <w:r w:rsidR="00396DF1" w:rsidRPr="004B3EB9">
        <w:rPr>
          <w:rFonts w:ascii="Times New Roman" w:hAnsi="Times New Roman"/>
          <w:sz w:val="24"/>
          <w:szCs w:val="24"/>
        </w:rPr>
        <w:t>toral bez için 15 mg/kg/gün.</w:t>
      </w:r>
    </w:p>
    <w:p w:rsidR="00DA04F8" w:rsidRDefault="00DA04F8" w:rsidP="00C86B5D">
      <w:pPr>
        <w:spacing w:after="0"/>
        <w:jc w:val="both"/>
        <w:rPr>
          <w:rFonts w:ascii="Times New Roman" w:hAnsi="Times New Roman"/>
          <w:sz w:val="24"/>
          <w:szCs w:val="24"/>
        </w:rPr>
      </w:pPr>
    </w:p>
    <w:p w:rsidR="00683C9A"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Prepusyal/k</w:t>
      </w:r>
      <w:r w:rsidR="00FA40FF" w:rsidRPr="004B3EB9">
        <w:rPr>
          <w:rFonts w:ascii="Times New Roman" w:hAnsi="Times New Roman"/>
          <w:sz w:val="24"/>
          <w:szCs w:val="24"/>
        </w:rPr>
        <w:t>li</w:t>
      </w:r>
      <w:r w:rsidRPr="004B3EB9">
        <w:rPr>
          <w:rFonts w:ascii="Times New Roman" w:hAnsi="Times New Roman"/>
          <w:sz w:val="24"/>
          <w:szCs w:val="24"/>
        </w:rPr>
        <w:t xml:space="preserve">toral bezde </w:t>
      </w:r>
      <w:r w:rsidR="00DA04F8" w:rsidRPr="004B3EB9">
        <w:rPr>
          <w:rFonts w:ascii="Times New Roman" w:hAnsi="Times New Roman"/>
          <w:sz w:val="24"/>
          <w:szCs w:val="24"/>
        </w:rPr>
        <w:t>pap</w:t>
      </w:r>
      <w:r w:rsidR="00DA04F8">
        <w:rPr>
          <w:rFonts w:ascii="Times New Roman" w:hAnsi="Times New Roman"/>
          <w:sz w:val="24"/>
          <w:szCs w:val="24"/>
        </w:rPr>
        <w:t>il</w:t>
      </w:r>
      <w:r w:rsidR="00DA04F8" w:rsidRPr="004B3EB9">
        <w:rPr>
          <w:rFonts w:ascii="Times New Roman" w:hAnsi="Times New Roman"/>
          <w:sz w:val="24"/>
          <w:szCs w:val="24"/>
        </w:rPr>
        <w:t>loma</w:t>
      </w:r>
      <w:r w:rsidRPr="004B3EB9">
        <w:rPr>
          <w:rFonts w:ascii="Times New Roman" w:hAnsi="Times New Roman"/>
          <w:sz w:val="24"/>
          <w:szCs w:val="24"/>
        </w:rPr>
        <w:t xml:space="preserve">/karsinoma 30 ve 60 mg/kg/gün olarak saptanmıştır ve bu değer, insandaki günlük maruziyetin (EAA değerine dayanarak 400 mg/gün ya da 800 mg/gün) yaklaşık 0.5 ila 4 ya da 0.3 ila 2.4 </w:t>
      </w:r>
      <w:proofErr w:type="gramStart"/>
      <w:r w:rsidRPr="004B3EB9">
        <w:rPr>
          <w:rFonts w:ascii="Times New Roman" w:hAnsi="Times New Roman"/>
          <w:sz w:val="24"/>
          <w:szCs w:val="24"/>
        </w:rPr>
        <w:t>katına,</w:t>
      </w:r>
      <w:proofErr w:type="gramEnd"/>
      <w:r w:rsidRPr="004B3EB9">
        <w:rPr>
          <w:rFonts w:ascii="Times New Roman" w:hAnsi="Times New Roman"/>
          <w:sz w:val="24"/>
          <w:szCs w:val="24"/>
        </w:rPr>
        <w:t xml:space="preserve"> ve çocuklardaki günlük maruziyetin (EAA değerine dayanarak 340 mg/m</w:t>
      </w:r>
      <w:r w:rsidRPr="004B3EB9">
        <w:rPr>
          <w:rFonts w:ascii="Times New Roman" w:hAnsi="Times New Roman"/>
          <w:sz w:val="24"/>
          <w:szCs w:val="24"/>
          <w:vertAlign w:val="superscript"/>
        </w:rPr>
        <w:t>2</w:t>
      </w:r>
      <w:r w:rsidRPr="004B3EB9">
        <w:rPr>
          <w:rFonts w:ascii="Times New Roman" w:hAnsi="Times New Roman"/>
          <w:sz w:val="24"/>
          <w:szCs w:val="24"/>
        </w:rPr>
        <w:t>) 0.4 ila 3.0 kat</w:t>
      </w:r>
      <w:r w:rsidR="009B0410" w:rsidRPr="004B3EB9">
        <w:rPr>
          <w:rFonts w:ascii="Times New Roman" w:hAnsi="Times New Roman"/>
          <w:sz w:val="24"/>
          <w:szCs w:val="24"/>
        </w:rPr>
        <w:t>ına</w:t>
      </w:r>
      <w:r w:rsidRPr="004B3EB9">
        <w:rPr>
          <w:rFonts w:ascii="Times New Roman" w:hAnsi="Times New Roman"/>
          <w:sz w:val="24"/>
          <w:szCs w:val="24"/>
        </w:rPr>
        <w:t xml:space="preserve"> karşılık gelmekted</w:t>
      </w:r>
      <w:r w:rsidR="00750A71" w:rsidRPr="004B3EB9">
        <w:rPr>
          <w:rFonts w:ascii="Times New Roman" w:hAnsi="Times New Roman"/>
          <w:sz w:val="24"/>
          <w:szCs w:val="24"/>
        </w:rPr>
        <w:t>ir</w:t>
      </w:r>
      <w:r w:rsidRPr="004B3EB9">
        <w:rPr>
          <w:rFonts w:ascii="Times New Roman" w:hAnsi="Times New Roman"/>
          <w:sz w:val="24"/>
          <w:szCs w:val="24"/>
        </w:rPr>
        <w:t xml:space="preserve">. 60 mg/kg/gün </w:t>
      </w:r>
      <w:r w:rsidR="003176D1" w:rsidRPr="004B3EB9">
        <w:rPr>
          <w:rFonts w:ascii="Times New Roman" w:hAnsi="Times New Roman"/>
          <w:sz w:val="24"/>
          <w:szCs w:val="24"/>
        </w:rPr>
        <w:t>ile</w:t>
      </w:r>
      <w:r w:rsidRPr="004B3EB9">
        <w:rPr>
          <w:rFonts w:ascii="Times New Roman" w:hAnsi="Times New Roman"/>
          <w:sz w:val="24"/>
          <w:szCs w:val="24"/>
        </w:rPr>
        <w:t xml:space="preserve"> renal adenoma/karsinoma, mesane ve üretra papülomu, ince bağırsak adenokarsinomla</w:t>
      </w:r>
      <w:r w:rsidR="00750A71" w:rsidRPr="004B3EB9">
        <w:rPr>
          <w:rFonts w:ascii="Times New Roman" w:hAnsi="Times New Roman"/>
          <w:sz w:val="24"/>
          <w:szCs w:val="24"/>
        </w:rPr>
        <w:t>rı, paratir</w:t>
      </w:r>
      <w:r w:rsidRPr="004B3EB9">
        <w:rPr>
          <w:rFonts w:ascii="Times New Roman" w:hAnsi="Times New Roman"/>
          <w:sz w:val="24"/>
          <w:szCs w:val="24"/>
        </w:rPr>
        <w:t>oid bezi adenom</w:t>
      </w:r>
      <w:r w:rsidR="008E32E3" w:rsidRPr="004B3EB9">
        <w:rPr>
          <w:rFonts w:ascii="Times New Roman" w:hAnsi="Times New Roman"/>
          <w:sz w:val="24"/>
          <w:szCs w:val="24"/>
        </w:rPr>
        <w:t>ları</w:t>
      </w:r>
      <w:r w:rsidRPr="004B3EB9">
        <w:rPr>
          <w:rFonts w:ascii="Times New Roman" w:hAnsi="Times New Roman"/>
          <w:sz w:val="24"/>
          <w:szCs w:val="24"/>
        </w:rPr>
        <w:t>, adrenal bezlerde benign ve ma</w:t>
      </w:r>
      <w:r w:rsidR="00750A71" w:rsidRPr="004B3EB9">
        <w:rPr>
          <w:rFonts w:ascii="Times New Roman" w:hAnsi="Times New Roman"/>
          <w:sz w:val="24"/>
          <w:szCs w:val="24"/>
        </w:rPr>
        <w:t>li</w:t>
      </w:r>
      <w:r w:rsidRPr="004B3EB9">
        <w:rPr>
          <w:rFonts w:ascii="Times New Roman" w:hAnsi="Times New Roman"/>
          <w:sz w:val="24"/>
          <w:szCs w:val="24"/>
        </w:rPr>
        <w:t>gn medüller tümörler</w:t>
      </w:r>
      <w:r w:rsidR="00750A71" w:rsidRPr="004B3EB9">
        <w:rPr>
          <w:rFonts w:ascii="Times New Roman" w:hAnsi="Times New Roman"/>
          <w:sz w:val="24"/>
          <w:szCs w:val="24"/>
        </w:rPr>
        <w:t xml:space="preserve"> ve glandüler-olmayan mide papill</w:t>
      </w:r>
      <w:r w:rsidRPr="004B3EB9">
        <w:rPr>
          <w:rFonts w:ascii="Times New Roman" w:hAnsi="Times New Roman"/>
          <w:sz w:val="24"/>
          <w:szCs w:val="24"/>
        </w:rPr>
        <w:t>omala</w:t>
      </w:r>
      <w:r w:rsidR="00750A71" w:rsidRPr="004B3EB9">
        <w:rPr>
          <w:rFonts w:ascii="Times New Roman" w:hAnsi="Times New Roman"/>
          <w:sz w:val="24"/>
          <w:szCs w:val="24"/>
        </w:rPr>
        <w:t>rı/karsinomaları</w:t>
      </w:r>
      <w:r w:rsidRPr="004B3EB9">
        <w:rPr>
          <w:rFonts w:ascii="Times New Roman" w:hAnsi="Times New Roman"/>
          <w:sz w:val="24"/>
          <w:szCs w:val="24"/>
        </w:rPr>
        <w:t xml:space="preserve"> görülmüştür.</w:t>
      </w:r>
    </w:p>
    <w:p w:rsidR="00DA04F8" w:rsidRDefault="00DA04F8"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Sıçan karsinojenisite </w:t>
      </w:r>
      <w:r w:rsidR="00594F00" w:rsidRPr="004B3EB9">
        <w:rPr>
          <w:rFonts w:ascii="Times New Roman" w:hAnsi="Times New Roman"/>
          <w:sz w:val="24"/>
          <w:szCs w:val="24"/>
        </w:rPr>
        <w:t>çalışma</w:t>
      </w:r>
      <w:r w:rsidR="00791617" w:rsidRPr="004B3EB9">
        <w:rPr>
          <w:rFonts w:ascii="Times New Roman" w:hAnsi="Times New Roman"/>
          <w:sz w:val="24"/>
          <w:szCs w:val="24"/>
        </w:rPr>
        <w:t>ların</w:t>
      </w:r>
      <w:r w:rsidRPr="004B3EB9">
        <w:rPr>
          <w:rFonts w:ascii="Times New Roman" w:hAnsi="Times New Roman"/>
          <w:sz w:val="24"/>
          <w:szCs w:val="24"/>
        </w:rPr>
        <w:t xml:space="preserve">dan elde edilen bu bulguların insanlar için anlamı bilinmemektedir. Klinik </w:t>
      </w:r>
      <w:r w:rsidR="00594F00" w:rsidRPr="004B3EB9">
        <w:rPr>
          <w:rFonts w:ascii="Times New Roman" w:hAnsi="Times New Roman"/>
          <w:sz w:val="24"/>
          <w:szCs w:val="24"/>
        </w:rPr>
        <w:t>çalışma</w:t>
      </w:r>
      <w:r w:rsidRPr="004B3EB9">
        <w:rPr>
          <w:rFonts w:ascii="Times New Roman" w:hAnsi="Times New Roman"/>
          <w:sz w:val="24"/>
          <w:szCs w:val="24"/>
        </w:rPr>
        <w:t>lardan elde ed</w:t>
      </w:r>
      <w:r w:rsidR="003176D1" w:rsidRPr="004B3EB9">
        <w:rPr>
          <w:rFonts w:ascii="Times New Roman" w:hAnsi="Times New Roman"/>
          <w:sz w:val="24"/>
          <w:szCs w:val="24"/>
        </w:rPr>
        <w:t>ile</w:t>
      </w:r>
      <w:r w:rsidRPr="004B3EB9">
        <w:rPr>
          <w:rFonts w:ascii="Times New Roman" w:hAnsi="Times New Roman"/>
          <w:sz w:val="24"/>
          <w:szCs w:val="24"/>
        </w:rPr>
        <w:t>n güvenlilik veril</w:t>
      </w:r>
      <w:r w:rsidR="00750A71" w:rsidRPr="004B3EB9">
        <w:rPr>
          <w:rFonts w:ascii="Times New Roman" w:hAnsi="Times New Roman"/>
          <w:sz w:val="24"/>
          <w:szCs w:val="24"/>
        </w:rPr>
        <w:t>erinin ve spontan advers olay bil</w:t>
      </w:r>
      <w:r w:rsidRPr="004B3EB9">
        <w:rPr>
          <w:rFonts w:ascii="Times New Roman" w:hAnsi="Times New Roman"/>
          <w:sz w:val="24"/>
          <w:szCs w:val="24"/>
        </w:rPr>
        <w:t>dirimlerinin bir analizi</w:t>
      </w:r>
      <w:r w:rsidR="00750A71" w:rsidRPr="004B3EB9">
        <w:rPr>
          <w:rFonts w:ascii="Times New Roman" w:hAnsi="Times New Roman"/>
          <w:sz w:val="24"/>
          <w:szCs w:val="24"/>
        </w:rPr>
        <w:t xml:space="preserve">, genel </w:t>
      </w:r>
      <w:proofErr w:type="gramStart"/>
      <w:r w:rsidR="00750A71" w:rsidRPr="004B3EB9">
        <w:rPr>
          <w:rFonts w:ascii="Times New Roman" w:hAnsi="Times New Roman"/>
          <w:sz w:val="24"/>
          <w:szCs w:val="24"/>
        </w:rPr>
        <w:t>popülasyonla</w:t>
      </w:r>
      <w:proofErr w:type="gramEnd"/>
      <w:r w:rsidR="00750A71" w:rsidRPr="004B3EB9">
        <w:rPr>
          <w:rFonts w:ascii="Times New Roman" w:hAnsi="Times New Roman"/>
          <w:sz w:val="24"/>
          <w:szCs w:val="24"/>
        </w:rPr>
        <w:t xml:space="preserve"> karşılaştırı</w:t>
      </w:r>
      <w:r w:rsidRPr="004B3EB9">
        <w:rPr>
          <w:rFonts w:ascii="Times New Roman" w:hAnsi="Times New Roman"/>
          <w:sz w:val="24"/>
          <w:szCs w:val="24"/>
        </w:rPr>
        <w:t>ldığ</w:t>
      </w:r>
      <w:r w:rsidR="00750A71" w:rsidRPr="004B3EB9">
        <w:rPr>
          <w:rFonts w:ascii="Times New Roman" w:hAnsi="Times New Roman"/>
          <w:sz w:val="24"/>
          <w:szCs w:val="24"/>
        </w:rPr>
        <w:t>ın</w:t>
      </w:r>
      <w:r w:rsidRPr="004B3EB9">
        <w:rPr>
          <w:rFonts w:ascii="Times New Roman" w:hAnsi="Times New Roman"/>
          <w:sz w:val="24"/>
          <w:szCs w:val="24"/>
        </w:rPr>
        <w:t xml:space="preserve">da imatinib </w:t>
      </w:r>
      <w:r w:rsidR="003176D1" w:rsidRPr="004B3EB9">
        <w:rPr>
          <w:rFonts w:ascii="Times New Roman" w:hAnsi="Times New Roman"/>
          <w:sz w:val="24"/>
          <w:szCs w:val="24"/>
        </w:rPr>
        <w:t>ile</w:t>
      </w:r>
      <w:r w:rsidRPr="004B3EB9">
        <w:rPr>
          <w:rFonts w:ascii="Times New Roman" w:hAnsi="Times New Roman"/>
          <w:sz w:val="24"/>
          <w:szCs w:val="24"/>
        </w:rPr>
        <w:t xml:space="preserve"> tedavi ed</w:t>
      </w:r>
      <w:r w:rsidR="003176D1" w:rsidRPr="004B3EB9">
        <w:rPr>
          <w:rFonts w:ascii="Times New Roman" w:hAnsi="Times New Roman"/>
          <w:sz w:val="24"/>
          <w:szCs w:val="24"/>
        </w:rPr>
        <w:t>ile</w:t>
      </w:r>
      <w:r w:rsidRPr="004B3EB9">
        <w:rPr>
          <w:rFonts w:ascii="Times New Roman" w:hAnsi="Times New Roman"/>
          <w:sz w:val="24"/>
          <w:szCs w:val="24"/>
        </w:rPr>
        <w:t>n hastalarda gene</w:t>
      </w:r>
      <w:r w:rsidR="00750A71" w:rsidRPr="004B3EB9">
        <w:rPr>
          <w:rFonts w:ascii="Times New Roman" w:hAnsi="Times New Roman"/>
          <w:sz w:val="24"/>
          <w:szCs w:val="24"/>
        </w:rPr>
        <w:t>l mali</w:t>
      </w:r>
      <w:r w:rsidRPr="004B3EB9">
        <w:rPr>
          <w:rFonts w:ascii="Times New Roman" w:hAnsi="Times New Roman"/>
          <w:sz w:val="24"/>
          <w:szCs w:val="24"/>
        </w:rPr>
        <w:t>gnite insidans</w:t>
      </w:r>
      <w:r w:rsidR="00750A71" w:rsidRPr="004B3EB9">
        <w:rPr>
          <w:rFonts w:ascii="Times New Roman" w:hAnsi="Times New Roman"/>
          <w:sz w:val="24"/>
          <w:szCs w:val="24"/>
        </w:rPr>
        <w:t>ında artışla ilgili</w:t>
      </w:r>
      <w:r w:rsidRPr="004B3EB9">
        <w:rPr>
          <w:rFonts w:ascii="Times New Roman" w:hAnsi="Times New Roman"/>
          <w:sz w:val="24"/>
          <w:szCs w:val="24"/>
        </w:rPr>
        <w:t xml:space="preserve"> </w:t>
      </w:r>
      <w:r w:rsidR="00FA40FF" w:rsidRPr="004B3EB9">
        <w:rPr>
          <w:rFonts w:ascii="Times New Roman" w:hAnsi="Times New Roman"/>
          <w:sz w:val="24"/>
          <w:szCs w:val="24"/>
        </w:rPr>
        <w:t>bir</w:t>
      </w:r>
      <w:r w:rsidR="00750A71" w:rsidRPr="004B3EB9">
        <w:rPr>
          <w:rFonts w:ascii="Times New Roman" w:hAnsi="Times New Roman"/>
          <w:sz w:val="24"/>
          <w:szCs w:val="24"/>
        </w:rPr>
        <w:t xml:space="preserve"> kanı</w:t>
      </w:r>
      <w:r w:rsidRPr="004B3EB9">
        <w:rPr>
          <w:rFonts w:ascii="Times New Roman" w:hAnsi="Times New Roman"/>
          <w:sz w:val="24"/>
          <w:szCs w:val="24"/>
        </w:rPr>
        <w:t>t ortaya koymamıştır.</w:t>
      </w:r>
    </w:p>
    <w:p w:rsidR="00DA04F8" w:rsidRDefault="00DA04F8" w:rsidP="00C86B5D">
      <w:pPr>
        <w:spacing w:after="0"/>
        <w:jc w:val="both"/>
        <w:rPr>
          <w:rFonts w:ascii="Times New Roman" w:hAnsi="Times New Roman"/>
          <w:sz w:val="24"/>
          <w:szCs w:val="24"/>
        </w:rPr>
      </w:pP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İlk klinik </w:t>
      </w:r>
      <w:r w:rsidR="00594F00" w:rsidRPr="004B3EB9">
        <w:rPr>
          <w:rFonts w:ascii="Times New Roman" w:hAnsi="Times New Roman"/>
          <w:sz w:val="24"/>
          <w:szCs w:val="24"/>
        </w:rPr>
        <w:t>çalışma</w:t>
      </w:r>
      <w:r w:rsidRPr="004B3EB9">
        <w:rPr>
          <w:rFonts w:ascii="Times New Roman" w:hAnsi="Times New Roman"/>
          <w:sz w:val="24"/>
          <w:szCs w:val="24"/>
        </w:rPr>
        <w:t xml:space="preserve">larda saptanmayan non-neoplastik lezyonlar kardiyovasküler sistem, pankreas, endokrin organlar ve dişlerle </w:t>
      </w:r>
      <w:r w:rsidR="00750A71" w:rsidRPr="004B3EB9">
        <w:rPr>
          <w:rFonts w:ascii="Times New Roman" w:hAnsi="Times New Roman"/>
          <w:sz w:val="24"/>
          <w:szCs w:val="24"/>
        </w:rPr>
        <w:t>ilgili</w:t>
      </w:r>
      <w:r w:rsidRPr="004B3EB9">
        <w:rPr>
          <w:rFonts w:ascii="Times New Roman" w:hAnsi="Times New Roman"/>
          <w:sz w:val="24"/>
          <w:szCs w:val="24"/>
        </w:rPr>
        <w:t xml:space="preserve"> olmuştur. En önem</w:t>
      </w:r>
      <w:r w:rsidR="00750A71" w:rsidRPr="004B3EB9">
        <w:rPr>
          <w:rFonts w:ascii="Times New Roman" w:hAnsi="Times New Roman"/>
          <w:sz w:val="24"/>
          <w:szCs w:val="24"/>
        </w:rPr>
        <w:t>li</w:t>
      </w:r>
      <w:r w:rsidRPr="004B3EB9">
        <w:rPr>
          <w:rFonts w:ascii="Times New Roman" w:hAnsi="Times New Roman"/>
          <w:sz w:val="24"/>
          <w:szCs w:val="24"/>
        </w:rPr>
        <w:t xml:space="preserve"> değişiklikler bazı hayvanlarda kalp yetme</w:t>
      </w:r>
      <w:r w:rsidR="00785E9D" w:rsidRPr="004B3EB9">
        <w:rPr>
          <w:rFonts w:ascii="Times New Roman" w:hAnsi="Times New Roman"/>
          <w:sz w:val="24"/>
          <w:szCs w:val="24"/>
        </w:rPr>
        <w:t>zliği</w:t>
      </w:r>
      <w:r w:rsidRPr="004B3EB9">
        <w:rPr>
          <w:rFonts w:ascii="Times New Roman" w:hAnsi="Times New Roman"/>
          <w:sz w:val="24"/>
          <w:szCs w:val="24"/>
        </w:rPr>
        <w:t xml:space="preserve"> belirt</w:t>
      </w:r>
      <w:r w:rsidR="003176D1" w:rsidRPr="004B3EB9">
        <w:rPr>
          <w:rFonts w:ascii="Times New Roman" w:hAnsi="Times New Roman"/>
          <w:sz w:val="24"/>
          <w:szCs w:val="24"/>
        </w:rPr>
        <w:t>ile</w:t>
      </w:r>
      <w:r w:rsidRPr="004B3EB9">
        <w:rPr>
          <w:rFonts w:ascii="Times New Roman" w:hAnsi="Times New Roman"/>
          <w:sz w:val="24"/>
          <w:szCs w:val="24"/>
        </w:rPr>
        <w:t>rine yol açan kardiyak hipertrofi ve d</w:t>
      </w:r>
      <w:r w:rsidR="003176D1" w:rsidRPr="004B3EB9">
        <w:rPr>
          <w:rFonts w:ascii="Times New Roman" w:hAnsi="Times New Roman"/>
          <w:sz w:val="24"/>
          <w:szCs w:val="24"/>
        </w:rPr>
        <w:t>ila</w:t>
      </w:r>
      <w:r w:rsidRPr="004B3EB9">
        <w:rPr>
          <w:rFonts w:ascii="Times New Roman" w:hAnsi="Times New Roman"/>
          <w:sz w:val="24"/>
          <w:szCs w:val="24"/>
        </w:rPr>
        <w:t>tasyonu içermiştir.</w:t>
      </w:r>
    </w:p>
    <w:p w:rsidR="0006573B" w:rsidRDefault="0006573B" w:rsidP="00C86B5D">
      <w:pPr>
        <w:spacing w:after="0"/>
        <w:jc w:val="both"/>
        <w:rPr>
          <w:rFonts w:ascii="Times New Roman" w:hAnsi="Times New Roman"/>
          <w:sz w:val="24"/>
          <w:szCs w:val="24"/>
        </w:rPr>
      </w:pPr>
    </w:p>
    <w:p w:rsidR="0006573B" w:rsidRPr="004B3EB9" w:rsidRDefault="0006573B"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6.</w:t>
      </w:r>
      <w:r w:rsidR="00791617" w:rsidRPr="004B3EB9">
        <w:rPr>
          <w:rFonts w:ascii="Times New Roman" w:hAnsi="Times New Roman"/>
          <w:b/>
          <w:bCs/>
          <w:sz w:val="24"/>
          <w:szCs w:val="24"/>
        </w:rPr>
        <w:t xml:space="preserve"> </w:t>
      </w:r>
      <w:r w:rsidRPr="004B3EB9">
        <w:rPr>
          <w:rFonts w:ascii="Times New Roman" w:hAnsi="Times New Roman"/>
          <w:b/>
          <w:bCs/>
          <w:sz w:val="24"/>
          <w:szCs w:val="24"/>
        </w:rPr>
        <w:t>F</w:t>
      </w:r>
      <w:r w:rsidR="00683C9A" w:rsidRPr="004B3EB9">
        <w:rPr>
          <w:rFonts w:ascii="Times New Roman" w:hAnsi="Times New Roman"/>
          <w:b/>
          <w:bCs/>
          <w:sz w:val="24"/>
          <w:szCs w:val="24"/>
        </w:rPr>
        <w:t>ARMAS</w:t>
      </w:r>
      <w:r w:rsidR="00A01B57" w:rsidRPr="004B3EB9">
        <w:rPr>
          <w:rFonts w:ascii="Times New Roman" w:hAnsi="Times New Roman"/>
          <w:b/>
          <w:bCs/>
          <w:sz w:val="24"/>
          <w:szCs w:val="24"/>
        </w:rPr>
        <w:t>Ö</w:t>
      </w:r>
      <w:r w:rsidR="00683C9A" w:rsidRPr="004B3EB9">
        <w:rPr>
          <w:rFonts w:ascii="Times New Roman" w:hAnsi="Times New Roman"/>
          <w:b/>
          <w:bCs/>
          <w:sz w:val="24"/>
          <w:szCs w:val="24"/>
        </w:rPr>
        <w:t>Tİ</w:t>
      </w:r>
      <w:r w:rsidRPr="004B3EB9">
        <w:rPr>
          <w:rFonts w:ascii="Times New Roman" w:hAnsi="Times New Roman"/>
          <w:b/>
          <w:bCs/>
          <w:sz w:val="24"/>
          <w:szCs w:val="24"/>
        </w:rPr>
        <w:t>K ÖZELLİKLER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6.1.</w:t>
      </w:r>
      <w:r w:rsidR="00791617" w:rsidRPr="004B3EB9">
        <w:rPr>
          <w:rFonts w:ascii="Times New Roman" w:hAnsi="Times New Roman"/>
          <w:b/>
          <w:bCs/>
          <w:sz w:val="24"/>
          <w:szCs w:val="24"/>
        </w:rPr>
        <w:t xml:space="preserve"> </w:t>
      </w:r>
      <w:r w:rsidRPr="004B3EB9">
        <w:rPr>
          <w:rFonts w:ascii="Times New Roman" w:hAnsi="Times New Roman"/>
          <w:b/>
          <w:bCs/>
          <w:sz w:val="24"/>
          <w:szCs w:val="24"/>
        </w:rPr>
        <w:t xml:space="preserve">Yardımcı maddelerin </w:t>
      </w:r>
      <w:r w:rsidR="00750A71" w:rsidRPr="004B3EB9">
        <w:rPr>
          <w:rFonts w:ascii="Times New Roman" w:hAnsi="Times New Roman"/>
          <w:b/>
          <w:bCs/>
          <w:sz w:val="24"/>
          <w:szCs w:val="24"/>
        </w:rPr>
        <w:t>li</w:t>
      </w:r>
      <w:r w:rsidRPr="004B3EB9">
        <w:rPr>
          <w:rFonts w:ascii="Times New Roman" w:hAnsi="Times New Roman"/>
          <w:b/>
          <w:bCs/>
          <w:sz w:val="24"/>
          <w:szCs w:val="24"/>
        </w:rPr>
        <w:t>stesi</w:t>
      </w:r>
    </w:p>
    <w:p w:rsidR="00DF0208" w:rsidRPr="004B3EB9" w:rsidRDefault="00DF0208" w:rsidP="00C86B5D">
      <w:pPr>
        <w:spacing w:after="0"/>
        <w:jc w:val="both"/>
        <w:rPr>
          <w:rFonts w:ascii="Times New Roman" w:hAnsi="Times New Roman"/>
          <w:b/>
          <w:bCs/>
          <w:i/>
          <w:sz w:val="24"/>
          <w:szCs w:val="24"/>
        </w:rPr>
      </w:pPr>
      <w:r w:rsidRPr="004B3EB9">
        <w:rPr>
          <w:rFonts w:ascii="Times New Roman" w:hAnsi="Times New Roman"/>
          <w:b/>
          <w:bCs/>
          <w:i/>
          <w:sz w:val="24"/>
          <w:szCs w:val="24"/>
        </w:rPr>
        <w:t>Tablet çekirdeği:</w:t>
      </w:r>
    </w:p>
    <w:p w:rsidR="00DF0208" w:rsidRPr="004B3EB9" w:rsidRDefault="00405CC2" w:rsidP="00C86B5D">
      <w:pPr>
        <w:spacing w:after="0"/>
        <w:jc w:val="both"/>
        <w:rPr>
          <w:rFonts w:ascii="Times New Roman" w:hAnsi="Times New Roman"/>
          <w:bCs/>
          <w:sz w:val="24"/>
          <w:szCs w:val="24"/>
        </w:rPr>
      </w:pPr>
      <w:r>
        <w:rPr>
          <w:rFonts w:ascii="Times New Roman" w:hAnsi="Times New Roman"/>
          <w:bCs/>
          <w:sz w:val="24"/>
          <w:szCs w:val="24"/>
        </w:rPr>
        <w:t xml:space="preserve">Mikrokristalin </w:t>
      </w:r>
      <w:r w:rsidR="005E4D91">
        <w:rPr>
          <w:rFonts w:ascii="Times New Roman" w:hAnsi="Times New Roman"/>
          <w:bCs/>
          <w:sz w:val="24"/>
          <w:szCs w:val="24"/>
        </w:rPr>
        <w:t xml:space="preserve">selüloz </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 xml:space="preserve">Hidroksi propil metil selüloz </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 xml:space="preserve">Krospovidon </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 xml:space="preserve">Kolloidal silikon dioksit </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Magnezyum stearat</w:t>
      </w:r>
    </w:p>
    <w:p w:rsidR="00A05DF1" w:rsidRDefault="00A05DF1" w:rsidP="00C86B5D">
      <w:pPr>
        <w:spacing w:after="0"/>
        <w:jc w:val="both"/>
        <w:rPr>
          <w:rFonts w:ascii="Times New Roman" w:hAnsi="Times New Roman"/>
          <w:b/>
          <w:bCs/>
          <w:i/>
          <w:sz w:val="24"/>
          <w:szCs w:val="24"/>
        </w:rPr>
      </w:pPr>
    </w:p>
    <w:p w:rsidR="00DF0208" w:rsidRPr="004B3EB9" w:rsidRDefault="00DF0208" w:rsidP="00C86B5D">
      <w:pPr>
        <w:spacing w:after="0"/>
        <w:jc w:val="both"/>
        <w:rPr>
          <w:rFonts w:ascii="Times New Roman" w:hAnsi="Times New Roman"/>
          <w:b/>
          <w:bCs/>
          <w:i/>
          <w:sz w:val="24"/>
          <w:szCs w:val="24"/>
        </w:rPr>
      </w:pPr>
      <w:r w:rsidRPr="004B3EB9">
        <w:rPr>
          <w:rFonts w:ascii="Times New Roman" w:hAnsi="Times New Roman"/>
          <w:b/>
          <w:bCs/>
          <w:i/>
          <w:sz w:val="24"/>
          <w:szCs w:val="24"/>
        </w:rPr>
        <w:t xml:space="preserve">Film kaplama [Opadry II Orange (85F230022)] </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Polivinil alkol</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Polietilen glikol (Macrogol)/PEG 3350</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Sarı demir oksit</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 xml:space="preserve">Talk </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Titanyum dioksit</w:t>
      </w:r>
    </w:p>
    <w:p w:rsidR="00DF0208" w:rsidRPr="004B3EB9" w:rsidRDefault="00DF0208" w:rsidP="00C86B5D">
      <w:pPr>
        <w:spacing w:after="0"/>
        <w:jc w:val="both"/>
        <w:rPr>
          <w:rFonts w:ascii="Times New Roman" w:hAnsi="Times New Roman"/>
          <w:bCs/>
          <w:sz w:val="24"/>
          <w:szCs w:val="24"/>
        </w:rPr>
      </w:pPr>
      <w:r w:rsidRPr="004B3EB9">
        <w:rPr>
          <w:rFonts w:ascii="Times New Roman" w:hAnsi="Times New Roman"/>
          <w:bCs/>
          <w:sz w:val="24"/>
          <w:szCs w:val="24"/>
        </w:rPr>
        <w:t>Kırmızı demir oksit</w:t>
      </w:r>
    </w:p>
    <w:p w:rsidR="00DF0208" w:rsidRPr="004B3EB9" w:rsidRDefault="00DF0208" w:rsidP="00C86B5D">
      <w:pPr>
        <w:spacing w:after="0"/>
        <w:jc w:val="both"/>
        <w:rPr>
          <w:rFonts w:ascii="Times New Roman" w:hAnsi="Times New Roman"/>
          <w:bCs/>
          <w:sz w:val="24"/>
          <w:szCs w:val="24"/>
        </w:rPr>
      </w:pPr>
    </w:p>
    <w:p w:rsidR="00396DF1" w:rsidRPr="004B3EB9" w:rsidRDefault="00750A71" w:rsidP="00C86B5D">
      <w:pPr>
        <w:spacing w:after="0"/>
        <w:jc w:val="both"/>
        <w:rPr>
          <w:rFonts w:ascii="Times New Roman" w:hAnsi="Times New Roman"/>
          <w:sz w:val="24"/>
          <w:szCs w:val="24"/>
        </w:rPr>
      </w:pPr>
      <w:r w:rsidRPr="004B3EB9">
        <w:rPr>
          <w:rFonts w:ascii="Times New Roman" w:hAnsi="Times New Roman"/>
          <w:b/>
          <w:bCs/>
          <w:sz w:val="24"/>
          <w:szCs w:val="24"/>
        </w:rPr>
        <w:t>6.2</w:t>
      </w:r>
      <w:r w:rsidRPr="004B3EB9">
        <w:rPr>
          <w:rFonts w:ascii="Times New Roman" w:hAnsi="Times New Roman"/>
          <w:b/>
          <w:bCs/>
          <w:sz w:val="24"/>
          <w:szCs w:val="24"/>
        </w:rPr>
        <w:tab/>
        <w:t>Geçimsizli</w:t>
      </w:r>
      <w:r w:rsidR="00396DF1" w:rsidRPr="004B3EB9">
        <w:rPr>
          <w:rFonts w:ascii="Times New Roman" w:hAnsi="Times New Roman"/>
          <w:b/>
          <w:bCs/>
          <w:sz w:val="24"/>
          <w:szCs w:val="24"/>
        </w:rPr>
        <w:t>kler</w:t>
      </w:r>
    </w:p>
    <w:p w:rsidR="00396DF1" w:rsidRPr="004B3EB9" w:rsidRDefault="00750A71" w:rsidP="00C86B5D">
      <w:pPr>
        <w:spacing w:after="0"/>
        <w:jc w:val="both"/>
        <w:rPr>
          <w:rFonts w:ascii="Times New Roman" w:hAnsi="Times New Roman"/>
          <w:sz w:val="24"/>
          <w:szCs w:val="24"/>
        </w:rPr>
      </w:pPr>
      <w:r w:rsidRPr="004B3EB9">
        <w:rPr>
          <w:rFonts w:ascii="Times New Roman" w:hAnsi="Times New Roman"/>
          <w:sz w:val="24"/>
          <w:szCs w:val="24"/>
        </w:rPr>
        <w:t>Geçerli değildir</w:t>
      </w:r>
      <w:r w:rsidR="00396DF1" w:rsidRPr="004B3EB9">
        <w:rPr>
          <w:rFonts w:ascii="Times New Roman" w:hAnsi="Times New Roman"/>
          <w:sz w:val="24"/>
          <w:szCs w:val="24"/>
        </w:rPr>
        <w:t>.</w:t>
      </w:r>
    </w:p>
    <w:p w:rsidR="003E087A" w:rsidRPr="004B3EB9" w:rsidRDefault="003E087A" w:rsidP="00C86B5D">
      <w:pPr>
        <w:spacing w:after="0"/>
        <w:jc w:val="both"/>
        <w:rPr>
          <w:rFonts w:ascii="Times New Roman" w:hAnsi="Times New Roman"/>
          <w:sz w:val="24"/>
          <w:szCs w:val="24"/>
        </w:rPr>
      </w:pPr>
    </w:p>
    <w:p w:rsidR="00396DF1" w:rsidRPr="004B3EB9" w:rsidRDefault="00396DF1" w:rsidP="00C86B5D">
      <w:pPr>
        <w:tabs>
          <w:tab w:val="left" w:pos="708"/>
          <w:tab w:val="left" w:pos="1416"/>
          <w:tab w:val="left" w:pos="8070"/>
        </w:tabs>
        <w:spacing w:after="0"/>
        <w:jc w:val="both"/>
        <w:rPr>
          <w:rFonts w:ascii="Times New Roman" w:hAnsi="Times New Roman"/>
          <w:sz w:val="24"/>
          <w:szCs w:val="24"/>
        </w:rPr>
      </w:pPr>
      <w:r w:rsidRPr="004B3EB9">
        <w:rPr>
          <w:rFonts w:ascii="Times New Roman" w:hAnsi="Times New Roman"/>
          <w:b/>
          <w:bCs/>
          <w:sz w:val="24"/>
          <w:szCs w:val="24"/>
        </w:rPr>
        <w:t>6.3</w:t>
      </w:r>
      <w:r w:rsidRPr="004B3EB9">
        <w:rPr>
          <w:rFonts w:ascii="Times New Roman" w:hAnsi="Times New Roman"/>
          <w:b/>
          <w:bCs/>
          <w:sz w:val="24"/>
          <w:szCs w:val="24"/>
        </w:rPr>
        <w:tab/>
        <w:t>Raf ömrü</w:t>
      </w:r>
      <w:r w:rsidR="008B72E3" w:rsidRPr="004B3EB9">
        <w:rPr>
          <w:rFonts w:ascii="Times New Roman" w:hAnsi="Times New Roman"/>
          <w:b/>
          <w:bCs/>
          <w:sz w:val="24"/>
          <w:szCs w:val="24"/>
        </w:rPr>
        <w:tab/>
      </w:r>
    </w:p>
    <w:p w:rsidR="00396DF1" w:rsidRPr="004B3EB9" w:rsidRDefault="003E087A" w:rsidP="00C86B5D">
      <w:pPr>
        <w:spacing w:after="0"/>
        <w:jc w:val="both"/>
        <w:rPr>
          <w:rFonts w:ascii="Times New Roman" w:hAnsi="Times New Roman"/>
          <w:sz w:val="24"/>
          <w:szCs w:val="24"/>
        </w:rPr>
      </w:pPr>
      <w:r w:rsidRPr="004B3EB9">
        <w:rPr>
          <w:rFonts w:ascii="Times New Roman" w:hAnsi="Times New Roman"/>
          <w:sz w:val="24"/>
          <w:szCs w:val="24"/>
        </w:rPr>
        <w:t>24</w:t>
      </w:r>
      <w:r w:rsidR="00396DF1" w:rsidRPr="004B3EB9">
        <w:rPr>
          <w:rFonts w:ascii="Times New Roman" w:hAnsi="Times New Roman"/>
          <w:sz w:val="24"/>
          <w:szCs w:val="24"/>
        </w:rPr>
        <w:t xml:space="preserve"> aydır.</w:t>
      </w:r>
    </w:p>
    <w:p w:rsidR="003E087A" w:rsidRPr="004B3EB9" w:rsidRDefault="003E087A"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6.4</w:t>
      </w:r>
      <w:r w:rsidRPr="004B3EB9">
        <w:rPr>
          <w:rFonts w:ascii="Times New Roman" w:hAnsi="Times New Roman"/>
          <w:b/>
          <w:bCs/>
          <w:sz w:val="24"/>
          <w:szCs w:val="24"/>
        </w:rPr>
        <w:tab/>
        <w:t>Saklamaya yönelik özel tedbirler</w:t>
      </w: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30 °C</w:t>
      </w:r>
      <w:r w:rsidR="00F54064">
        <w:rPr>
          <w:rFonts w:ascii="Times New Roman" w:hAnsi="Times New Roman"/>
          <w:sz w:val="24"/>
          <w:szCs w:val="24"/>
        </w:rPr>
        <w:t>’</w:t>
      </w:r>
      <w:r w:rsidRPr="004B3EB9">
        <w:rPr>
          <w:rFonts w:ascii="Times New Roman" w:hAnsi="Times New Roman"/>
          <w:sz w:val="24"/>
          <w:szCs w:val="24"/>
        </w:rPr>
        <w:t>nin altındaki oda sıcak</w:t>
      </w:r>
      <w:r w:rsidR="00750A71" w:rsidRPr="004B3EB9">
        <w:rPr>
          <w:rFonts w:ascii="Times New Roman" w:hAnsi="Times New Roman"/>
          <w:sz w:val="24"/>
          <w:szCs w:val="24"/>
        </w:rPr>
        <w:t>lı</w:t>
      </w:r>
      <w:r w:rsidRPr="004B3EB9">
        <w:rPr>
          <w:rFonts w:ascii="Times New Roman" w:hAnsi="Times New Roman"/>
          <w:sz w:val="24"/>
          <w:szCs w:val="24"/>
        </w:rPr>
        <w:t>ğında saklayınız.</w:t>
      </w:r>
    </w:p>
    <w:p w:rsidR="003E087A" w:rsidRPr="004B3EB9" w:rsidRDefault="003E087A"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6.5</w:t>
      </w:r>
      <w:r w:rsidRPr="004B3EB9">
        <w:rPr>
          <w:rFonts w:ascii="Times New Roman" w:hAnsi="Times New Roman"/>
          <w:b/>
          <w:bCs/>
          <w:sz w:val="24"/>
          <w:szCs w:val="24"/>
        </w:rPr>
        <w:tab/>
        <w:t>Ambalajın niteliği ve içeriği</w:t>
      </w:r>
    </w:p>
    <w:p w:rsidR="00DF0208" w:rsidRPr="004B3EB9" w:rsidRDefault="000B4B39" w:rsidP="00C86B5D">
      <w:pPr>
        <w:spacing w:after="0"/>
        <w:jc w:val="both"/>
        <w:rPr>
          <w:rFonts w:ascii="Times New Roman" w:hAnsi="Times New Roman"/>
          <w:sz w:val="24"/>
          <w:szCs w:val="24"/>
        </w:rPr>
      </w:pPr>
      <w:r>
        <w:rPr>
          <w:rFonts w:ascii="Times New Roman" w:hAnsi="Times New Roman"/>
          <w:sz w:val="24"/>
          <w:szCs w:val="24"/>
        </w:rPr>
        <w:t xml:space="preserve">Şeffaf </w:t>
      </w:r>
      <w:r w:rsidR="00062DB8">
        <w:rPr>
          <w:rFonts w:ascii="Times New Roman" w:hAnsi="Times New Roman"/>
          <w:sz w:val="24"/>
          <w:szCs w:val="24"/>
        </w:rPr>
        <w:t>PVC</w:t>
      </w:r>
      <w:r>
        <w:rPr>
          <w:rFonts w:ascii="Times New Roman" w:hAnsi="Times New Roman"/>
          <w:sz w:val="24"/>
          <w:szCs w:val="24"/>
        </w:rPr>
        <w:t>/</w:t>
      </w:r>
      <w:r w:rsidR="00062DB8">
        <w:rPr>
          <w:rFonts w:ascii="Times New Roman" w:hAnsi="Times New Roman"/>
          <w:sz w:val="24"/>
          <w:szCs w:val="24"/>
        </w:rPr>
        <w:t>A</w:t>
      </w:r>
      <w:r>
        <w:rPr>
          <w:rFonts w:ascii="Times New Roman" w:hAnsi="Times New Roman"/>
          <w:sz w:val="24"/>
          <w:szCs w:val="24"/>
        </w:rPr>
        <w:t>k</w:t>
      </w:r>
      <w:r w:rsidR="00062DB8">
        <w:rPr>
          <w:rFonts w:ascii="Times New Roman" w:hAnsi="Times New Roman"/>
          <w:sz w:val="24"/>
          <w:szCs w:val="24"/>
        </w:rPr>
        <w:t>lar</w:t>
      </w:r>
      <w:r w:rsidR="00FF462B">
        <w:rPr>
          <w:rFonts w:ascii="Times New Roman" w:hAnsi="Times New Roman"/>
          <w:sz w:val="24"/>
          <w:szCs w:val="24"/>
        </w:rPr>
        <w:t>- Alu</w:t>
      </w:r>
      <w:r w:rsidR="00DF0208" w:rsidRPr="004B3EB9">
        <w:rPr>
          <w:rFonts w:ascii="Times New Roman" w:hAnsi="Times New Roman"/>
          <w:sz w:val="24"/>
          <w:szCs w:val="24"/>
        </w:rPr>
        <w:t xml:space="preserve"> folyo </w:t>
      </w:r>
      <w:r w:rsidR="00FF462B">
        <w:rPr>
          <w:rFonts w:ascii="Times New Roman" w:hAnsi="Times New Roman"/>
          <w:sz w:val="24"/>
          <w:szCs w:val="24"/>
        </w:rPr>
        <w:t>blister ambalaj</w:t>
      </w:r>
    </w:p>
    <w:p w:rsidR="00DF0208" w:rsidRPr="004B3EB9" w:rsidRDefault="00DF0208" w:rsidP="00C86B5D">
      <w:pPr>
        <w:spacing w:after="0"/>
        <w:jc w:val="both"/>
        <w:rPr>
          <w:rFonts w:ascii="Times New Roman" w:hAnsi="Times New Roman"/>
          <w:sz w:val="24"/>
          <w:szCs w:val="24"/>
        </w:rPr>
      </w:pPr>
      <w:r w:rsidRPr="004B3EB9">
        <w:rPr>
          <w:rFonts w:ascii="Times New Roman" w:hAnsi="Times New Roman"/>
          <w:sz w:val="24"/>
          <w:szCs w:val="24"/>
        </w:rPr>
        <w:t>Bir kutu içinde 120 tablet ve kullanma talimatı ile birlikte sunulmaktadır.</w:t>
      </w:r>
    </w:p>
    <w:p w:rsidR="003E087A" w:rsidRPr="004B3EB9" w:rsidRDefault="003E087A"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6.6</w:t>
      </w:r>
      <w:r w:rsidRPr="004B3EB9">
        <w:rPr>
          <w:rFonts w:ascii="Times New Roman" w:hAnsi="Times New Roman"/>
          <w:b/>
          <w:bCs/>
          <w:sz w:val="24"/>
          <w:szCs w:val="24"/>
        </w:rPr>
        <w:tab/>
        <w:t>Beşeri tıbbi üründen arta kalan maddelerin imhası ve diğer özel önlemler</w:t>
      </w:r>
    </w:p>
    <w:p w:rsidR="00DF0208"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Ku</w:t>
      </w:r>
      <w:r w:rsidR="00750A71" w:rsidRPr="004B3EB9">
        <w:rPr>
          <w:rFonts w:ascii="Times New Roman" w:hAnsi="Times New Roman"/>
          <w:sz w:val="24"/>
          <w:szCs w:val="24"/>
        </w:rPr>
        <w:t>l</w:t>
      </w:r>
      <w:r w:rsidR="003176D1" w:rsidRPr="004B3EB9">
        <w:rPr>
          <w:rFonts w:ascii="Times New Roman" w:hAnsi="Times New Roman"/>
          <w:sz w:val="24"/>
          <w:szCs w:val="24"/>
        </w:rPr>
        <w:t>la</w:t>
      </w:r>
      <w:r w:rsidRPr="004B3EB9">
        <w:rPr>
          <w:rFonts w:ascii="Times New Roman" w:hAnsi="Times New Roman"/>
          <w:sz w:val="24"/>
          <w:szCs w:val="24"/>
        </w:rPr>
        <w:t>n</w:t>
      </w:r>
      <w:r w:rsidR="00750A71" w:rsidRPr="004B3EB9">
        <w:rPr>
          <w:rFonts w:ascii="Times New Roman" w:hAnsi="Times New Roman"/>
          <w:sz w:val="24"/>
          <w:szCs w:val="24"/>
        </w:rPr>
        <w:t>ıl</w:t>
      </w:r>
      <w:r w:rsidRPr="004B3EB9">
        <w:rPr>
          <w:rFonts w:ascii="Times New Roman" w:hAnsi="Times New Roman"/>
          <w:sz w:val="24"/>
          <w:szCs w:val="24"/>
        </w:rPr>
        <w:t>mamış olan ürünler ya da atık materya</w:t>
      </w:r>
      <w:r w:rsidR="00750A71" w:rsidRPr="004B3EB9">
        <w:rPr>
          <w:rFonts w:ascii="Times New Roman" w:hAnsi="Times New Roman"/>
          <w:sz w:val="24"/>
          <w:szCs w:val="24"/>
        </w:rPr>
        <w:t>ll</w:t>
      </w:r>
      <w:r w:rsidRPr="004B3EB9">
        <w:rPr>
          <w:rFonts w:ascii="Times New Roman" w:hAnsi="Times New Roman"/>
          <w:sz w:val="24"/>
          <w:szCs w:val="24"/>
        </w:rPr>
        <w:t xml:space="preserve">er </w:t>
      </w:r>
      <w:r w:rsidR="00025C6E">
        <w:rPr>
          <w:rFonts w:ascii="Times New Roman" w:hAnsi="Times New Roman"/>
          <w:sz w:val="24"/>
          <w:szCs w:val="24"/>
        </w:rPr>
        <w:t>“</w:t>
      </w:r>
      <w:r w:rsidRPr="004B3EB9">
        <w:rPr>
          <w:rFonts w:ascii="Times New Roman" w:hAnsi="Times New Roman"/>
          <w:sz w:val="24"/>
          <w:szCs w:val="24"/>
        </w:rPr>
        <w:t>Tıbbi Atıklar</w:t>
      </w:r>
      <w:r w:rsidR="00750A71" w:rsidRPr="004B3EB9">
        <w:rPr>
          <w:rFonts w:ascii="Times New Roman" w:hAnsi="Times New Roman"/>
          <w:sz w:val="24"/>
          <w:szCs w:val="24"/>
        </w:rPr>
        <w:t>ın</w:t>
      </w:r>
      <w:r w:rsidRPr="004B3EB9">
        <w:rPr>
          <w:rFonts w:ascii="Times New Roman" w:hAnsi="Times New Roman"/>
          <w:sz w:val="24"/>
          <w:szCs w:val="24"/>
        </w:rPr>
        <w:t xml:space="preserve"> Kontrolü Yönetme</w:t>
      </w:r>
      <w:r w:rsidR="00750A71" w:rsidRPr="004B3EB9">
        <w:rPr>
          <w:rFonts w:ascii="Times New Roman" w:hAnsi="Times New Roman"/>
          <w:sz w:val="24"/>
          <w:szCs w:val="24"/>
        </w:rPr>
        <w:t>liği</w:t>
      </w:r>
      <w:r w:rsidR="00025C6E">
        <w:rPr>
          <w:rFonts w:ascii="Times New Roman" w:hAnsi="Times New Roman"/>
          <w:sz w:val="24"/>
          <w:szCs w:val="24"/>
        </w:rPr>
        <w:t>”</w:t>
      </w:r>
      <w:r w:rsidRPr="004B3EB9">
        <w:rPr>
          <w:rFonts w:ascii="Times New Roman" w:hAnsi="Times New Roman"/>
          <w:sz w:val="24"/>
          <w:szCs w:val="24"/>
        </w:rPr>
        <w:t xml:space="preserve"> ve </w:t>
      </w:r>
      <w:r w:rsidR="00025C6E">
        <w:rPr>
          <w:rFonts w:ascii="Times New Roman" w:hAnsi="Times New Roman"/>
          <w:sz w:val="24"/>
          <w:szCs w:val="24"/>
        </w:rPr>
        <w:t>“</w:t>
      </w:r>
      <w:r w:rsidRPr="004B3EB9">
        <w:rPr>
          <w:rFonts w:ascii="Times New Roman" w:hAnsi="Times New Roman"/>
          <w:sz w:val="24"/>
          <w:szCs w:val="24"/>
        </w:rPr>
        <w:t>Ambalaj ve Ambalaj Atıklar Kontrolü Yönetme</w:t>
      </w:r>
      <w:r w:rsidR="00750A71" w:rsidRPr="004B3EB9">
        <w:rPr>
          <w:rFonts w:ascii="Times New Roman" w:hAnsi="Times New Roman"/>
          <w:sz w:val="24"/>
          <w:szCs w:val="24"/>
        </w:rPr>
        <w:t>liği</w:t>
      </w:r>
      <w:r w:rsidR="00025C6E">
        <w:rPr>
          <w:rFonts w:ascii="Times New Roman" w:hAnsi="Times New Roman"/>
          <w:sz w:val="24"/>
          <w:szCs w:val="24"/>
        </w:rPr>
        <w:t>”</w:t>
      </w:r>
      <w:r w:rsidR="00F54064">
        <w:rPr>
          <w:rFonts w:ascii="Times New Roman" w:hAnsi="Times New Roman"/>
          <w:sz w:val="24"/>
          <w:szCs w:val="24"/>
        </w:rPr>
        <w:t>‘</w:t>
      </w:r>
      <w:r w:rsidR="00750A71" w:rsidRPr="004B3EB9">
        <w:rPr>
          <w:rFonts w:ascii="Times New Roman" w:hAnsi="Times New Roman"/>
          <w:sz w:val="24"/>
          <w:szCs w:val="24"/>
        </w:rPr>
        <w:t>ne uygun olarak imha edilmelidir</w:t>
      </w:r>
      <w:r w:rsidRPr="004B3EB9">
        <w:rPr>
          <w:rFonts w:ascii="Times New Roman" w:hAnsi="Times New Roman"/>
          <w:sz w:val="24"/>
          <w:szCs w:val="24"/>
        </w:rPr>
        <w:t>.</w:t>
      </w:r>
    </w:p>
    <w:p w:rsidR="00DF0208" w:rsidRPr="004B3EB9" w:rsidRDefault="00DF0208"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7.</w:t>
      </w:r>
      <w:r w:rsidRPr="004B3EB9">
        <w:rPr>
          <w:rFonts w:ascii="Times New Roman" w:hAnsi="Times New Roman"/>
          <w:b/>
          <w:bCs/>
          <w:sz w:val="24"/>
          <w:szCs w:val="24"/>
        </w:rPr>
        <w:tab/>
        <w:t>RUHSAT SAHİBİ</w:t>
      </w:r>
    </w:p>
    <w:p w:rsidR="003E087A" w:rsidRPr="004B3EB9" w:rsidRDefault="003E087A" w:rsidP="00C86B5D">
      <w:pPr>
        <w:spacing w:after="0"/>
        <w:jc w:val="both"/>
        <w:rPr>
          <w:rFonts w:ascii="Times New Roman" w:hAnsi="Times New Roman"/>
          <w:sz w:val="24"/>
          <w:szCs w:val="24"/>
        </w:rPr>
      </w:pPr>
      <w:r w:rsidRPr="004B3EB9">
        <w:rPr>
          <w:rFonts w:ascii="Times New Roman" w:hAnsi="Times New Roman"/>
          <w:sz w:val="24"/>
          <w:szCs w:val="24"/>
        </w:rPr>
        <w:t xml:space="preserve">DEVA Holding A.Ş. </w:t>
      </w:r>
    </w:p>
    <w:p w:rsidR="003E087A" w:rsidRPr="004B3EB9" w:rsidRDefault="003E087A" w:rsidP="00C86B5D">
      <w:pPr>
        <w:spacing w:after="0"/>
        <w:jc w:val="both"/>
        <w:rPr>
          <w:rFonts w:ascii="Times New Roman" w:hAnsi="Times New Roman"/>
          <w:sz w:val="24"/>
          <w:szCs w:val="24"/>
        </w:rPr>
      </w:pPr>
      <w:r w:rsidRPr="004B3EB9">
        <w:rPr>
          <w:rFonts w:ascii="Times New Roman" w:hAnsi="Times New Roman"/>
          <w:sz w:val="24"/>
          <w:szCs w:val="24"/>
        </w:rPr>
        <w:t>Halkalı Merkez Mah. Basın Ekspres Cad. No:1</w:t>
      </w:r>
    </w:p>
    <w:p w:rsidR="003E087A" w:rsidRPr="004B3EB9" w:rsidRDefault="002B53D7" w:rsidP="00C86B5D">
      <w:pPr>
        <w:spacing w:after="0"/>
        <w:jc w:val="both"/>
        <w:rPr>
          <w:rFonts w:ascii="Times New Roman" w:hAnsi="Times New Roman"/>
          <w:sz w:val="24"/>
          <w:szCs w:val="24"/>
        </w:rPr>
      </w:pPr>
      <w:r w:rsidRPr="004B3EB9">
        <w:rPr>
          <w:rFonts w:ascii="Times New Roman" w:hAnsi="Times New Roman"/>
          <w:sz w:val="24"/>
          <w:szCs w:val="24"/>
        </w:rPr>
        <w:t>34303 Küçükçekmece/</w:t>
      </w:r>
      <w:r w:rsidR="003E087A" w:rsidRPr="004B3EB9">
        <w:rPr>
          <w:rFonts w:ascii="Times New Roman" w:hAnsi="Times New Roman"/>
          <w:sz w:val="24"/>
          <w:szCs w:val="24"/>
        </w:rPr>
        <w:t>İSTANBUL</w:t>
      </w:r>
    </w:p>
    <w:p w:rsidR="005739A4" w:rsidRDefault="005739A4" w:rsidP="00C86B5D">
      <w:pPr>
        <w:spacing w:after="0"/>
        <w:jc w:val="both"/>
        <w:rPr>
          <w:rFonts w:ascii="Times New Roman" w:hAnsi="Times New Roman"/>
          <w:sz w:val="24"/>
          <w:szCs w:val="24"/>
        </w:rPr>
      </w:pPr>
    </w:p>
    <w:p w:rsidR="00062DB8" w:rsidRPr="004B3EB9" w:rsidRDefault="00062DB8"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8.</w:t>
      </w:r>
      <w:r w:rsidRPr="004B3EB9">
        <w:rPr>
          <w:rFonts w:ascii="Times New Roman" w:hAnsi="Times New Roman"/>
          <w:b/>
          <w:bCs/>
          <w:sz w:val="24"/>
          <w:szCs w:val="24"/>
        </w:rPr>
        <w:tab/>
        <w:t>RUHSAT NUMARASI</w:t>
      </w:r>
    </w:p>
    <w:p w:rsidR="003E087A" w:rsidRDefault="00BD7A0C" w:rsidP="00C86B5D">
      <w:pPr>
        <w:spacing w:after="0"/>
        <w:jc w:val="both"/>
        <w:rPr>
          <w:rFonts w:ascii="Times New Roman" w:hAnsi="Times New Roman"/>
          <w:sz w:val="24"/>
          <w:szCs w:val="24"/>
        </w:rPr>
      </w:pPr>
      <w:r w:rsidRPr="004B3EB9">
        <w:rPr>
          <w:rFonts w:ascii="Times New Roman" w:hAnsi="Times New Roman"/>
          <w:sz w:val="24"/>
          <w:szCs w:val="24"/>
        </w:rPr>
        <w:t>241/32</w:t>
      </w:r>
    </w:p>
    <w:p w:rsidR="003068C3" w:rsidRDefault="003068C3" w:rsidP="00C86B5D">
      <w:pPr>
        <w:spacing w:after="0"/>
        <w:jc w:val="both"/>
        <w:rPr>
          <w:rFonts w:ascii="Times New Roman" w:hAnsi="Times New Roman"/>
          <w:sz w:val="24"/>
          <w:szCs w:val="24"/>
        </w:rPr>
      </w:pPr>
    </w:p>
    <w:p w:rsidR="00396DF1" w:rsidRPr="004B3EB9" w:rsidRDefault="00396DF1" w:rsidP="00C86B5D">
      <w:pPr>
        <w:spacing w:after="0"/>
        <w:jc w:val="both"/>
        <w:rPr>
          <w:rFonts w:ascii="Times New Roman" w:hAnsi="Times New Roman"/>
          <w:sz w:val="24"/>
          <w:szCs w:val="24"/>
        </w:rPr>
      </w:pPr>
      <w:r w:rsidRPr="004B3EB9">
        <w:rPr>
          <w:rFonts w:ascii="Times New Roman" w:hAnsi="Times New Roman"/>
          <w:b/>
          <w:bCs/>
          <w:sz w:val="24"/>
          <w:szCs w:val="24"/>
        </w:rPr>
        <w:t>9.</w:t>
      </w:r>
      <w:r w:rsidRPr="004B3EB9">
        <w:rPr>
          <w:rFonts w:ascii="Times New Roman" w:hAnsi="Times New Roman"/>
          <w:b/>
          <w:bCs/>
          <w:sz w:val="24"/>
          <w:szCs w:val="24"/>
        </w:rPr>
        <w:tab/>
        <w:t>İLK RUHSAT TARİHİ/RUHSAT YENİLEME TARİHİ</w:t>
      </w:r>
    </w:p>
    <w:p w:rsidR="003E087A" w:rsidRPr="004B3EB9" w:rsidRDefault="00396DF1" w:rsidP="00C86B5D">
      <w:pPr>
        <w:spacing w:after="0"/>
        <w:jc w:val="both"/>
        <w:rPr>
          <w:rFonts w:ascii="Times New Roman" w:hAnsi="Times New Roman"/>
          <w:sz w:val="24"/>
          <w:szCs w:val="24"/>
        </w:rPr>
      </w:pPr>
      <w:r w:rsidRPr="004B3EB9">
        <w:rPr>
          <w:rFonts w:ascii="Times New Roman" w:hAnsi="Times New Roman"/>
          <w:sz w:val="24"/>
          <w:szCs w:val="24"/>
        </w:rPr>
        <w:t xml:space="preserve">İlk ruhsat tarihi: </w:t>
      </w:r>
      <w:r w:rsidR="00BD7A0C" w:rsidRPr="004B3EB9">
        <w:rPr>
          <w:rFonts w:ascii="Times New Roman" w:hAnsi="Times New Roman"/>
          <w:sz w:val="24"/>
          <w:szCs w:val="24"/>
        </w:rPr>
        <w:t xml:space="preserve">12.03.2012 </w:t>
      </w:r>
    </w:p>
    <w:p w:rsidR="00396DF1" w:rsidRDefault="00396DF1" w:rsidP="00C86B5D">
      <w:pPr>
        <w:spacing w:after="0"/>
        <w:jc w:val="both"/>
        <w:rPr>
          <w:rFonts w:ascii="Times New Roman" w:hAnsi="Times New Roman"/>
          <w:sz w:val="24"/>
          <w:szCs w:val="24"/>
        </w:rPr>
      </w:pPr>
      <w:r w:rsidRPr="004B3EB9">
        <w:rPr>
          <w:rFonts w:ascii="Times New Roman" w:hAnsi="Times New Roman"/>
          <w:sz w:val="24"/>
          <w:szCs w:val="24"/>
        </w:rPr>
        <w:t>Ruhsat yen</w:t>
      </w:r>
      <w:r w:rsidR="003176D1" w:rsidRPr="004B3EB9">
        <w:rPr>
          <w:rFonts w:ascii="Times New Roman" w:hAnsi="Times New Roman"/>
          <w:sz w:val="24"/>
          <w:szCs w:val="24"/>
        </w:rPr>
        <w:t>ile</w:t>
      </w:r>
      <w:r w:rsidRPr="004B3EB9">
        <w:rPr>
          <w:rFonts w:ascii="Times New Roman" w:hAnsi="Times New Roman"/>
          <w:sz w:val="24"/>
          <w:szCs w:val="24"/>
        </w:rPr>
        <w:t xml:space="preserve">me tarihi: </w:t>
      </w:r>
    </w:p>
    <w:p w:rsidR="005739A4" w:rsidRPr="004B3EB9" w:rsidRDefault="005739A4" w:rsidP="00C86B5D">
      <w:pPr>
        <w:spacing w:after="0"/>
        <w:jc w:val="both"/>
        <w:rPr>
          <w:rFonts w:ascii="Times New Roman" w:hAnsi="Times New Roman"/>
          <w:sz w:val="24"/>
          <w:szCs w:val="24"/>
        </w:rPr>
      </w:pPr>
    </w:p>
    <w:p w:rsidR="009D4164" w:rsidRDefault="00396DF1" w:rsidP="00C86B5D">
      <w:pPr>
        <w:spacing w:after="0"/>
        <w:jc w:val="both"/>
        <w:rPr>
          <w:rFonts w:ascii="Times New Roman" w:hAnsi="Times New Roman"/>
          <w:b/>
          <w:bCs/>
          <w:sz w:val="24"/>
          <w:szCs w:val="24"/>
        </w:rPr>
      </w:pPr>
      <w:r w:rsidRPr="004B3EB9">
        <w:rPr>
          <w:rFonts w:ascii="Times New Roman" w:hAnsi="Times New Roman"/>
          <w:b/>
          <w:bCs/>
          <w:sz w:val="24"/>
          <w:szCs w:val="24"/>
        </w:rPr>
        <w:t>10.</w:t>
      </w:r>
      <w:r w:rsidRPr="004B3EB9">
        <w:rPr>
          <w:rFonts w:ascii="Times New Roman" w:hAnsi="Times New Roman"/>
          <w:b/>
          <w:bCs/>
          <w:sz w:val="24"/>
          <w:szCs w:val="24"/>
        </w:rPr>
        <w:tab/>
        <w:t>KÜB</w:t>
      </w:r>
      <w:r w:rsidR="00F54064">
        <w:rPr>
          <w:rFonts w:ascii="Times New Roman" w:hAnsi="Times New Roman"/>
          <w:b/>
          <w:bCs/>
          <w:sz w:val="24"/>
          <w:szCs w:val="24"/>
        </w:rPr>
        <w:t>’</w:t>
      </w:r>
      <w:r w:rsidRPr="004B3EB9">
        <w:rPr>
          <w:rFonts w:ascii="Times New Roman" w:hAnsi="Times New Roman"/>
          <w:b/>
          <w:bCs/>
          <w:sz w:val="24"/>
          <w:szCs w:val="24"/>
        </w:rPr>
        <w:t>ÜN YENİLENME TARİHİ</w:t>
      </w:r>
    </w:p>
    <w:p w:rsidR="000F79AE" w:rsidRPr="004B3EB9" w:rsidRDefault="000F79AE" w:rsidP="00C86B5D">
      <w:pPr>
        <w:spacing w:after="0"/>
        <w:jc w:val="both"/>
        <w:rPr>
          <w:rFonts w:ascii="Times New Roman" w:hAnsi="Times New Roman"/>
          <w:sz w:val="24"/>
          <w:szCs w:val="24"/>
        </w:rPr>
      </w:pPr>
      <w:r w:rsidRPr="000F79AE">
        <w:rPr>
          <w:rFonts w:ascii="Times New Roman" w:hAnsi="Times New Roman"/>
          <w:sz w:val="24"/>
          <w:szCs w:val="24"/>
        </w:rPr>
        <w:t>24.09.2014</w:t>
      </w:r>
    </w:p>
    <w:sectPr w:rsidR="000F79AE" w:rsidRPr="004B3EB9" w:rsidSect="00683C9A">
      <w:footerReference w:type="default" r:id="rId12"/>
      <w:pgSz w:w="11909" w:h="16834"/>
      <w:pgMar w:top="1418" w:right="1136" w:bottom="720" w:left="127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54" w:rsidRDefault="008B6554" w:rsidP="005A4ACE">
      <w:pPr>
        <w:spacing w:after="0" w:line="240" w:lineRule="auto"/>
      </w:pPr>
      <w:r>
        <w:separator/>
      </w:r>
    </w:p>
  </w:endnote>
  <w:endnote w:type="continuationSeparator" w:id="0">
    <w:p w:rsidR="008B6554" w:rsidRDefault="008B6554" w:rsidP="005A4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641"/>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8B6554" w:rsidRDefault="008B6554" w:rsidP="009018B1">
            <w:pPr>
              <w:pStyle w:val="Altbilgi"/>
              <w:jc w:val="right"/>
            </w:pPr>
          </w:p>
          <w:p w:rsidR="008B6554" w:rsidRPr="009018B1" w:rsidRDefault="00B20A87" w:rsidP="009018B1">
            <w:pPr>
              <w:pStyle w:val="Altbilgi"/>
              <w:jc w:val="right"/>
              <w:rPr>
                <w:rFonts w:ascii="Times New Roman" w:hAnsi="Times New Roman" w:cs="Times New Roman"/>
                <w:sz w:val="24"/>
                <w:szCs w:val="24"/>
              </w:rPr>
            </w:pPr>
            <w:r w:rsidRPr="009018B1">
              <w:rPr>
                <w:rFonts w:ascii="Times New Roman" w:hAnsi="Times New Roman" w:cs="Times New Roman"/>
                <w:sz w:val="24"/>
                <w:szCs w:val="24"/>
              </w:rPr>
              <w:fldChar w:fldCharType="begin"/>
            </w:r>
            <w:r w:rsidR="008B6554" w:rsidRPr="009018B1">
              <w:rPr>
                <w:rFonts w:ascii="Times New Roman" w:hAnsi="Times New Roman" w:cs="Times New Roman"/>
                <w:sz w:val="24"/>
                <w:szCs w:val="24"/>
              </w:rPr>
              <w:instrText>PAGE</w:instrText>
            </w:r>
            <w:r w:rsidRPr="009018B1">
              <w:rPr>
                <w:rFonts w:ascii="Times New Roman" w:hAnsi="Times New Roman" w:cs="Times New Roman"/>
                <w:sz w:val="24"/>
                <w:szCs w:val="24"/>
              </w:rPr>
              <w:fldChar w:fldCharType="separate"/>
            </w:r>
            <w:r w:rsidR="000F79AE">
              <w:rPr>
                <w:rFonts w:ascii="Times New Roman" w:hAnsi="Times New Roman" w:cs="Times New Roman"/>
                <w:noProof/>
                <w:sz w:val="24"/>
                <w:szCs w:val="24"/>
              </w:rPr>
              <w:t>27</w:t>
            </w:r>
            <w:r w:rsidRPr="009018B1">
              <w:rPr>
                <w:rFonts w:ascii="Times New Roman" w:hAnsi="Times New Roman" w:cs="Times New Roman"/>
                <w:sz w:val="24"/>
                <w:szCs w:val="24"/>
              </w:rPr>
              <w:fldChar w:fldCharType="end"/>
            </w:r>
            <w:r w:rsidR="008B6554" w:rsidRPr="009018B1">
              <w:rPr>
                <w:rFonts w:ascii="Times New Roman" w:hAnsi="Times New Roman" w:cs="Times New Roman"/>
                <w:sz w:val="24"/>
                <w:szCs w:val="24"/>
              </w:rPr>
              <w:t xml:space="preserve"> / </w:t>
            </w:r>
            <w:r w:rsidRPr="009018B1">
              <w:rPr>
                <w:rFonts w:ascii="Times New Roman" w:hAnsi="Times New Roman" w:cs="Times New Roman"/>
                <w:sz w:val="24"/>
                <w:szCs w:val="24"/>
              </w:rPr>
              <w:fldChar w:fldCharType="begin"/>
            </w:r>
            <w:r w:rsidR="008B6554" w:rsidRPr="009018B1">
              <w:rPr>
                <w:rFonts w:ascii="Times New Roman" w:hAnsi="Times New Roman" w:cs="Times New Roman"/>
                <w:sz w:val="24"/>
                <w:szCs w:val="24"/>
              </w:rPr>
              <w:instrText>NUMPAGES</w:instrText>
            </w:r>
            <w:r w:rsidRPr="009018B1">
              <w:rPr>
                <w:rFonts w:ascii="Times New Roman" w:hAnsi="Times New Roman" w:cs="Times New Roman"/>
                <w:sz w:val="24"/>
                <w:szCs w:val="24"/>
              </w:rPr>
              <w:fldChar w:fldCharType="separate"/>
            </w:r>
            <w:r w:rsidR="000F79AE">
              <w:rPr>
                <w:rFonts w:ascii="Times New Roman" w:hAnsi="Times New Roman" w:cs="Times New Roman"/>
                <w:noProof/>
                <w:sz w:val="24"/>
                <w:szCs w:val="24"/>
              </w:rPr>
              <w:t>27</w:t>
            </w:r>
            <w:r w:rsidRPr="009018B1">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54" w:rsidRDefault="008B6554" w:rsidP="005A4ACE">
      <w:pPr>
        <w:spacing w:after="0" w:line="240" w:lineRule="auto"/>
      </w:pPr>
      <w:r>
        <w:separator/>
      </w:r>
    </w:p>
  </w:footnote>
  <w:footnote w:type="continuationSeparator" w:id="0">
    <w:p w:rsidR="008B6554" w:rsidRDefault="008B6554" w:rsidP="005A4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BA0370"/>
    <w:lvl w:ilvl="0">
      <w:numFmt w:val="bullet"/>
      <w:lvlText w:val="*"/>
      <w:lvlJc w:val="left"/>
    </w:lvl>
  </w:abstractNum>
  <w:abstractNum w:abstractNumId="1">
    <w:nsid w:val="02C572C1"/>
    <w:multiLevelType w:val="hybridMultilevel"/>
    <w:tmpl w:val="2CE82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D56226"/>
    <w:multiLevelType w:val="hybridMultilevel"/>
    <w:tmpl w:val="929CD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D8091A"/>
    <w:multiLevelType w:val="singleLevel"/>
    <w:tmpl w:val="0D0A9A20"/>
    <w:lvl w:ilvl="0">
      <w:start w:val="1"/>
      <w:numFmt w:val="decimal"/>
      <w:lvlText w:val="%1-"/>
      <w:legacy w:legacy="1" w:legacySpace="0" w:legacyIndent="168"/>
      <w:lvlJc w:val="left"/>
      <w:rPr>
        <w:rFonts w:ascii="Verdana" w:hAnsi="Verdana" w:hint="default"/>
        <w:sz w:val="20"/>
        <w:szCs w:val="20"/>
      </w:rPr>
    </w:lvl>
  </w:abstractNum>
  <w:abstractNum w:abstractNumId="4">
    <w:nsid w:val="14BE776A"/>
    <w:multiLevelType w:val="singleLevel"/>
    <w:tmpl w:val="F2706658"/>
    <w:lvl w:ilvl="0">
      <w:start w:val="3"/>
      <w:numFmt w:val="decimal"/>
      <w:lvlText w:val="6.%1."/>
      <w:legacy w:legacy="1" w:legacySpace="0" w:legacyIndent="672"/>
      <w:lvlJc w:val="left"/>
      <w:rPr>
        <w:rFonts w:ascii="Times New Roman" w:hAnsi="Times New Roman" w:cs="Times New Roman" w:hint="default"/>
      </w:rPr>
    </w:lvl>
  </w:abstractNum>
  <w:abstractNum w:abstractNumId="5">
    <w:nsid w:val="255034F2"/>
    <w:multiLevelType w:val="singleLevel"/>
    <w:tmpl w:val="A10824D4"/>
    <w:lvl w:ilvl="0">
      <w:start w:val="1"/>
      <w:numFmt w:val="decimal"/>
      <w:lvlText w:val="%1."/>
      <w:legacy w:legacy="1" w:legacySpace="0" w:legacyIndent="331"/>
      <w:lvlJc w:val="left"/>
      <w:rPr>
        <w:rFonts w:ascii="Times New Roman" w:hAnsi="Times New Roman" w:cs="Times New Roman" w:hint="default"/>
      </w:rPr>
    </w:lvl>
  </w:abstractNum>
  <w:abstractNum w:abstractNumId="6">
    <w:nsid w:val="3A324FCC"/>
    <w:multiLevelType w:val="hybridMultilevel"/>
    <w:tmpl w:val="F556A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45126D"/>
    <w:multiLevelType w:val="singleLevel"/>
    <w:tmpl w:val="062293BE"/>
    <w:lvl w:ilvl="0">
      <w:start w:val="7"/>
      <w:numFmt w:val="decimal"/>
      <w:lvlText w:val="%1."/>
      <w:legacy w:legacy="1" w:legacySpace="0" w:legacyIndent="662"/>
      <w:lvlJc w:val="left"/>
      <w:rPr>
        <w:rFonts w:ascii="Times New Roman" w:hAnsi="Times New Roman" w:cs="Times New Roman" w:hint="default"/>
      </w:rPr>
    </w:lvl>
  </w:abstractNum>
  <w:abstractNum w:abstractNumId="8">
    <w:nsid w:val="5A92622E"/>
    <w:multiLevelType w:val="hybridMultilevel"/>
    <w:tmpl w:val="91862F74"/>
    <w:lvl w:ilvl="0" w:tplc="C4F817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0077DA"/>
    <w:multiLevelType w:val="hybridMultilevel"/>
    <w:tmpl w:val="6494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C27EA3"/>
    <w:multiLevelType w:val="hybridMultilevel"/>
    <w:tmpl w:val="2CE82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75A2B"/>
    <w:multiLevelType w:val="hybridMultilevel"/>
    <w:tmpl w:val="18283E06"/>
    <w:lvl w:ilvl="0" w:tplc="A5203C3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6A2486"/>
    <w:multiLevelType w:val="hybridMultilevel"/>
    <w:tmpl w:val="1DBC201A"/>
    <w:lvl w:ilvl="0" w:tplc="3CCCB4CA">
      <w:start w:val="1"/>
      <w:numFmt w:val="decimal"/>
      <w:lvlText w:val="%1."/>
      <w:lvlJc w:val="left"/>
      <w:pPr>
        <w:ind w:left="393" w:hanging="360"/>
      </w:pPr>
      <w:rPr>
        <w:rFonts w:hint="default"/>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num w:numId="1">
    <w:abstractNumId w:val="0"/>
    <w:lvlOverride w:ilvl="0">
      <w:lvl w:ilvl="0">
        <w:start w:val="65535"/>
        <w:numFmt w:val="bullet"/>
        <w:lvlText w:val="•"/>
        <w:legacy w:legacy="1" w:legacySpace="0" w:legacyIndent="326"/>
        <w:lvlJc w:val="left"/>
        <w:rPr>
          <w:rFonts w:ascii="Verdana" w:hAnsi="Verdana" w:hint="default"/>
        </w:rPr>
      </w:lvl>
    </w:lvlOverride>
  </w:num>
  <w:num w:numId="2">
    <w:abstractNumId w:val="4"/>
  </w:num>
  <w:num w:numId="3">
    <w:abstractNumId w:val="7"/>
  </w:num>
  <w:num w:numId="4">
    <w:abstractNumId w:val="0"/>
    <w:lvlOverride w:ilvl="0">
      <w:lvl w:ilvl="0">
        <w:start w:val="65535"/>
        <w:numFmt w:val="bullet"/>
        <w:lvlText w:val="•"/>
        <w:legacy w:legacy="1" w:legacySpace="0" w:legacyIndent="312"/>
        <w:lvlJc w:val="left"/>
        <w:rPr>
          <w:rFonts w:ascii="Verdana" w:hAnsi="Verdana" w:hint="default"/>
        </w:rPr>
      </w:lvl>
    </w:lvlOverride>
  </w:num>
  <w:num w:numId="5">
    <w:abstractNumId w:val="5"/>
  </w:num>
  <w:num w:numId="6">
    <w:abstractNumId w:val="0"/>
    <w:lvlOverride w:ilvl="0">
      <w:lvl w:ilvl="0">
        <w:start w:val="65535"/>
        <w:numFmt w:val="bullet"/>
        <w:lvlText w:val="•"/>
        <w:legacy w:legacy="1" w:legacySpace="0" w:legacyIndent="322"/>
        <w:lvlJc w:val="left"/>
        <w:rPr>
          <w:rFonts w:ascii="Verdana" w:hAnsi="Verdana" w:hint="default"/>
        </w:rPr>
      </w:lvl>
    </w:lvlOverride>
  </w:num>
  <w:num w:numId="7">
    <w:abstractNumId w:val="0"/>
    <w:lvlOverride w:ilvl="0">
      <w:lvl w:ilvl="0">
        <w:start w:val="65535"/>
        <w:numFmt w:val="bullet"/>
        <w:lvlText w:val="•"/>
        <w:legacy w:legacy="1" w:legacySpace="0" w:legacyIndent="321"/>
        <w:lvlJc w:val="left"/>
        <w:rPr>
          <w:rFonts w:ascii="Verdana" w:hAnsi="Verdana" w:hint="default"/>
        </w:rPr>
      </w:lvl>
    </w:lvlOverride>
  </w:num>
  <w:num w:numId="8">
    <w:abstractNumId w:val="0"/>
    <w:lvlOverride w:ilvl="0">
      <w:lvl w:ilvl="0">
        <w:start w:val="65535"/>
        <w:numFmt w:val="bullet"/>
        <w:lvlText w:val="•"/>
        <w:legacy w:legacy="1" w:legacySpace="0" w:legacyIndent="336"/>
        <w:lvlJc w:val="left"/>
        <w:rPr>
          <w:rFonts w:ascii="Verdana" w:hAnsi="Verdana" w:hint="default"/>
        </w:rPr>
      </w:lvl>
    </w:lvlOverride>
  </w:num>
  <w:num w:numId="9">
    <w:abstractNumId w:val="3"/>
  </w:num>
  <w:num w:numId="10">
    <w:abstractNumId w:val="6"/>
  </w:num>
  <w:num w:numId="11">
    <w:abstractNumId w:val="2"/>
  </w:num>
  <w:num w:numId="12">
    <w:abstractNumId w:val="12"/>
  </w:num>
  <w:num w:numId="13">
    <w:abstractNumId w:val="9"/>
  </w:num>
  <w:num w:numId="14">
    <w:abstractNumId w:val="1"/>
  </w:num>
  <w:num w:numId="15">
    <w:abstractNumId w:val="10"/>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EF1E77"/>
    <w:rsid w:val="00001DD3"/>
    <w:rsid w:val="00007767"/>
    <w:rsid w:val="00015105"/>
    <w:rsid w:val="00025C6E"/>
    <w:rsid w:val="00027DB4"/>
    <w:rsid w:val="000358B0"/>
    <w:rsid w:val="000360C8"/>
    <w:rsid w:val="00045060"/>
    <w:rsid w:val="00062BD2"/>
    <w:rsid w:val="00062DB8"/>
    <w:rsid w:val="000646A4"/>
    <w:rsid w:val="0006573B"/>
    <w:rsid w:val="000675EC"/>
    <w:rsid w:val="00070826"/>
    <w:rsid w:val="00073367"/>
    <w:rsid w:val="0007472E"/>
    <w:rsid w:val="00077B2B"/>
    <w:rsid w:val="00091A19"/>
    <w:rsid w:val="00093DDC"/>
    <w:rsid w:val="000A1785"/>
    <w:rsid w:val="000A487F"/>
    <w:rsid w:val="000B1D8B"/>
    <w:rsid w:val="000B236F"/>
    <w:rsid w:val="000B4B39"/>
    <w:rsid w:val="000D1D65"/>
    <w:rsid w:val="000D3D03"/>
    <w:rsid w:val="000E03E4"/>
    <w:rsid w:val="000F1832"/>
    <w:rsid w:val="000F68B2"/>
    <w:rsid w:val="000F79AE"/>
    <w:rsid w:val="0010475B"/>
    <w:rsid w:val="001227CA"/>
    <w:rsid w:val="00134C41"/>
    <w:rsid w:val="00141666"/>
    <w:rsid w:val="001509E9"/>
    <w:rsid w:val="0015670F"/>
    <w:rsid w:val="0016127A"/>
    <w:rsid w:val="00172DFD"/>
    <w:rsid w:val="001751A5"/>
    <w:rsid w:val="0018735F"/>
    <w:rsid w:val="00187450"/>
    <w:rsid w:val="001B14E1"/>
    <w:rsid w:val="001B43EA"/>
    <w:rsid w:val="001B532F"/>
    <w:rsid w:val="001C0942"/>
    <w:rsid w:val="001D024B"/>
    <w:rsid w:val="001D0F28"/>
    <w:rsid w:val="001D34EA"/>
    <w:rsid w:val="001D5D19"/>
    <w:rsid w:val="001E10B6"/>
    <w:rsid w:val="001E7EC1"/>
    <w:rsid w:val="001F667D"/>
    <w:rsid w:val="0020575E"/>
    <w:rsid w:val="00231592"/>
    <w:rsid w:val="002342DE"/>
    <w:rsid w:val="00245D6A"/>
    <w:rsid w:val="0024604F"/>
    <w:rsid w:val="00271419"/>
    <w:rsid w:val="0029307A"/>
    <w:rsid w:val="002B29C1"/>
    <w:rsid w:val="002B53D7"/>
    <w:rsid w:val="002C1996"/>
    <w:rsid w:val="002E4B03"/>
    <w:rsid w:val="003068C3"/>
    <w:rsid w:val="00307D9E"/>
    <w:rsid w:val="003176D1"/>
    <w:rsid w:val="0032057E"/>
    <w:rsid w:val="003261B5"/>
    <w:rsid w:val="0033310F"/>
    <w:rsid w:val="00333A2E"/>
    <w:rsid w:val="00336501"/>
    <w:rsid w:val="00340A42"/>
    <w:rsid w:val="00344536"/>
    <w:rsid w:val="00346001"/>
    <w:rsid w:val="00362D5A"/>
    <w:rsid w:val="00385FEC"/>
    <w:rsid w:val="00394DB0"/>
    <w:rsid w:val="00396DF1"/>
    <w:rsid w:val="003A20D0"/>
    <w:rsid w:val="003A3589"/>
    <w:rsid w:val="003B1BCC"/>
    <w:rsid w:val="003B68F3"/>
    <w:rsid w:val="003C5EB3"/>
    <w:rsid w:val="003E087A"/>
    <w:rsid w:val="003F3197"/>
    <w:rsid w:val="003F6DC3"/>
    <w:rsid w:val="00404381"/>
    <w:rsid w:val="00405AA8"/>
    <w:rsid w:val="00405CC2"/>
    <w:rsid w:val="00424386"/>
    <w:rsid w:val="00426C7C"/>
    <w:rsid w:val="00430A12"/>
    <w:rsid w:val="00437054"/>
    <w:rsid w:val="004462CC"/>
    <w:rsid w:val="00446B36"/>
    <w:rsid w:val="00452F0A"/>
    <w:rsid w:val="00467A6E"/>
    <w:rsid w:val="00472CE5"/>
    <w:rsid w:val="00493EF3"/>
    <w:rsid w:val="004A2419"/>
    <w:rsid w:val="004B1619"/>
    <w:rsid w:val="004B3EB9"/>
    <w:rsid w:val="004C202B"/>
    <w:rsid w:val="004D3045"/>
    <w:rsid w:val="004D754A"/>
    <w:rsid w:val="004E7E2D"/>
    <w:rsid w:val="004F3870"/>
    <w:rsid w:val="004F481B"/>
    <w:rsid w:val="004F6B65"/>
    <w:rsid w:val="005110CE"/>
    <w:rsid w:val="005279EC"/>
    <w:rsid w:val="00532131"/>
    <w:rsid w:val="00543193"/>
    <w:rsid w:val="005431DA"/>
    <w:rsid w:val="00544FE9"/>
    <w:rsid w:val="005637C7"/>
    <w:rsid w:val="00567C79"/>
    <w:rsid w:val="005739A4"/>
    <w:rsid w:val="00574EB1"/>
    <w:rsid w:val="00594F00"/>
    <w:rsid w:val="005A3774"/>
    <w:rsid w:val="005A47F0"/>
    <w:rsid w:val="005A4ACE"/>
    <w:rsid w:val="005B006F"/>
    <w:rsid w:val="005C77C2"/>
    <w:rsid w:val="005D0157"/>
    <w:rsid w:val="005D41C2"/>
    <w:rsid w:val="005D6F71"/>
    <w:rsid w:val="005E2BEF"/>
    <w:rsid w:val="005E4ADE"/>
    <w:rsid w:val="005E4D91"/>
    <w:rsid w:val="005F0A36"/>
    <w:rsid w:val="00600E63"/>
    <w:rsid w:val="00610A07"/>
    <w:rsid w:val="00611CD6"/>
    <w:rsid w:val="00620F4C"/>
    <w:rsid w:val="006305EC"/>
    <w:rsid w:val="00631239"/>
    <w:rsid w:val="00632672"/>
    <w:rsid w:val="0063461B"/>
    <w:rsid w:val="00641D1E"/>
    <w:rsid w:val="00641DA1"/>
    <w:rsid w:val="00641DCE"/>
    <w:rsid w:val="006478FB"/>
    <w:rsid w:val="00650F9E"/>
    <w:rsid w:val="00651B57"/>
    <w:rsid w:val="00664EBC"/>
    <w:rsid w:val="00665906"/>
    <w:rsid w:val="00683C9A"/>
    <w:rsid w:val="0068421E"/>
    <w:rsid w:val="00687B25"/>
    <w:rsid w:val="0069670E"/>
    <w:rsid w:val="006A59C8"/>
    <w:rsid w:val="006B1585"/>
    <w:rsid w:val="006B5011"/>
    <w:rsid w:val="006B5533"/>
    <w:rsid w:val="006C3214"/>
    <w:rsid w:val="006D0D7A"/>
    <w:rsid w:val="006D15EB"/>
    <w:rsid w:val="006E5F74"/>
    <w:rsid w:val="006F37DF"/>
    <w:rsid w:val="006F3FA0"/>
    <w:rsid w:val="006F4052"/>
    <w:rsid w:val="007037FB"/>
    <w:rsid w:val="0070763D"/>
    <w:rsid w:val="00721CFD"/>
    <w:rsid w:val="00732851"/>
    <w:rsid w:val="00734CA4"/>
    <w:rsid w:val="0074298A"/>
    <w:rsid w:val="00743EB3"/>
    <w:rsid w:val="0075054F"/>
    <w:rsid w:val="00750A71"/>
    <w:rsid w:val="0075362C"/>
    <w:rsid w:val="007649C6"/>
    <w:rsid w:val="0076529C"/>
    <w:rsid w:val="007711E8"/>
    <w:rsid w:val="00781716"/>
    <w:rsid w:val="0078455A"/>
    <w:rsid w:val="00785E9D"/>
    <w:rsid w:val="00786FCF"/>
    <w:rsid w:val="00791617"/>
    <w:rsid w:val="007A00F5"/>
    <w:rsid w:val="007A6059"/>
    <w:rsid w:val="007B57E9"/>
    <w:rsid w:val="007B5B7B"/>
    <w:rsid w:val="007C2D90"/>
    <w:rsid w:val="007D2E0F"/>
    <w:rsid w:val="0080332F"/>
    <w:rsid w:val="008121D3"/>
    <w:rsid w:val="008158B8"/>
    <w:rsid w:val="0081767A"/>
    <w:rsid w:val="00820FE0"/>
    <w:rsid w:val="00821C46"/>
    <w:rsid w:val="00822198"/>
    <w:rsid w:val="00840FEC"/>
    <w:rsid w:val="008619C7"/>
    <w:rsid w:val="00871CF0"/>
    <w:rsid w:val="0088672B"/>
    <w:rsid w:val="008B50C4"/>
    <w:rsid w:val="008B5727"/>
    <w:rsid w:val="008B6554"/>
    <w:rsid w:val="008B72E3"/>
    <w:rsid w:val="008D0758"/>
    <w:rsid w:val="008E32E3"/>
    <w:rsid w:val="008F7F41"/>
    <w:rsid w:val="009018B1"/>
    <w:rsid w:val="00904199"/>
    <w:rsid w:val="00927A4E"/>
    <w:rsid w:val="009369BC"/>
    <w:rsid w:val="00942D6E"/>
    <w:rsid w:val="009542FF"/>
    <w:rsid w:val="00964D71"/>
    <w:rsid w:val="00973E02"/>
    <w:rsid w:val="00974B94"/>
    <w:rsid w:val="00975789"/>
    <w:rsid w:val="00975A15"/>
    <w:rsid w:val="00982C02"/>
    <w:rsid w:val="00996148"/>
    <w:rsid w:val="009A2775"/>
    <w:rsid w:val="009B0410"/>
    <w:rsid w:val="009B04BC"/>
    <w:rsid w:val="009B2800"/>
    <w:rsid w:val="009C687A"/>
    <w:rsid w:val="009C77B6"/>
    <w:rsid w:val="009D1FAB"/>
    <w:rsid w:val="009D4164"/>
    <w:rsid w:val="009D4F4C"/>
    <w:rsid w:val="009D5816"/>
    <w:rsid w:val="009D6BA9"/>
    <w:rsid w:val="009E05C8"/>
    <w:rsid w:val="009E18A2"/>
    <w:rsid w:val="009E236D"/>
    <w:rsid w:val="009E2CA6"/>
    <w:rsid w:val="009F6E01"/>
    <w:rsid w:val="009F7E79"/>
    <w:rsid w:val="00A01B57"/>
    <w:rsid w:val="00A01C5F"/>
    <w:rsid w:val="00A05DF1"/>
    <w:rsid w:val="00A07557"/>
    <w:rsid w:val="00A14941"/>
    <w:rsid w:val="00A34649"/>
    <w:rsid w:val="00A36687"/>
    <w:rsid w:val="00A37584"/>
    <w:rsid w:val="00A51346"/>
    <w:rsid w:val="00A552BA"/>
    <w:rsid w:val="00A57109"/>
    <w:rsid w:val="00A638AE"/>
    <w:rsid w:val="00A66AE4"/>
    <w:rsid w:val="00A81FAC"/>
    <w:rsid w:val="00A91A83"/>
    <w:rsid w:val="00A91F46"/>
    <w:rsid w:val="00A9235C"/>
    <w:rsid w:val="00A93B6E"/>
    <w:rsid w:val="00A96E10"/>
    <w:rsid w:val="00AA00F3"/>
    <w:rsid w:val="00AA7D24"/>
    <w:rsid w:val="00AB3180"/>
    <w:rsid w:val="00AB7956"/>
    <w:rsid w:val="00AC31E5"/>
    <w:rsid w:val="00AC547E"/>
    <w:rsid w:val="00AC54D8"/>
    <w:rsid w:val="00B15D9E"/>
    <w:rsid w:val="00B20A87"/>
    <w:rsid w:val="00B21B1E"/>
    <w:rsid w:val="00B2433F"/>
    <w:rsid w:val="00B66FBF"/>
    <w:rsid w:val="00B75FDF"/>
    <w:rsid w:val="00B963FC"/>
    <w:rsid w:val="00BA3D7C"/>
    <w:rsid w:val="00BA40DC"/>
    <w:rsid w:val="00BA41F3"/>
    <w:rsid w:val="00BB2BC6"/>
    <w:rsid w:val="00BC3A00"/>
    <w:rsid w:val="00BC3F0A"/>
    <w:rsid w:val="00BD7A0C"/>
    <w:rsid w:val="00BE4E13"/>
    <w:rsid w:val="00BF5245"/>
    <w:rsid w:val="00C0048C"/>
    <w:rsid w:val="00C01137"/>
    <w:rsid w:val="00C0678F"/>
    <w:rsid w:val="00C25BF1"/>
    <w:rsid w:val="00C25F20"/>
    <w:rsid w:val="00C325A2"/>
    <w:rsid w:val="00C33C95"/>
    <w:rsid w:val="00C4118A"/>
    <w:rsid w:val="00C500E7"/>
    <w:rsid w:val="00C51C9E"/>
    <w:rsid w:val="00C52470"/>
    <w:rsid w:val="00C60B90"/>
    <w:rsid w:val="00C60D61"/>
    <w:rsid w:val="00C63143"/>
    <w:rsid w:val="00C6706B"/>
    <w:rsid w:val="00C70B61"/>
    <w:rsid w:val="00C8369B"/>
    <w:rsid w:val="00C852CA"/>
    <w:rsid w:val="00C86B5D"/>
    <w:rsid w:val="00C90A0C"/>
    <w:rsid w:val="00C97C62"/>
    <w:rsid w:val="00CA0286"/>
    <w:rsid w:val="00CA2476"/>
    <w:rsid w:val="00CA681F"/>
    <w:rsid w:val="00CB4C87"/>
    <w:rsid w:val="00CB617C"/>
    <w:rsid w:val="00CD1373"/>
    <w:rsid w:val="00CD16DC"/>
    <w:rsid w:val="00CE052F"/>
    <w:rsid w:val="00CE073E"/>
    <w:rsid w:val="00CE21D1"/>
    <w:rsid w:val="00CF3A57"/>
    <w:rsid w:val="00D0433E"/>
    <w:rsid w:val="00D1060A"/>
    <w:rsid w:val="00D133E4"/>
    <w:rsid w:val="00D14442"/>
    <w:rsid w:val="00D30F82"/>
    <w:rsid w:val="00D37314"/>
    <w:rsid w:val="00D4195D"/>
    <w:rsid w:val="00D5174E"/>
    <w:rsid w:val="00D6483E"/>
    <w:rsid w:val="00D66728"/>
    <w:rsid w:val="00D67E9B"/>
    <w:rsid w:val="00D71F18"/>
    <w:rsid w:val="00D800C5"/>
    <w:rsid w:val="00D8167A"/>
    <w:rsid w:val="00D82C1C"/>
    <w:rsid w:val="00D84FC5"/>
    <w:rsid w:val="00D9041E"/>
    <w:rsid w:val="00D90C7C"/>
    <w:rsid w:val="00D94990"/>
    <w:rsid w:val="00D97481"/>
    <w:rsid w:val="00DA04F8"/>
    <w:rsid w:val="00DA30C8"/>
    <w:rsid w:val="00DB5083"/>
    <w:rsid w:val="00DB79DA"/>
    <w:rsid w:val="00DB7C0D"/>
    <w:rsid w:val="00DC19B6"/>
    <w:rsid w:val="00DC4B28"/>
    <w:rsid w:val="00DC6B50"/>
    <w:rsid w:val="00DE3B67"/>
    <w:rsid w:val="00DF00A6"/>
    <w:rsid w:val="00DF0208"/>
    <w:rsid w:val="00E112D7"/>
    <w:rsid w:val="00E27239"/>
    <w:rsid w:val="00E277B4"/>
    <w:rsid w:val="00E31771"/>
    <w:rsid w:val="00E324A2"/>
    <w:rsid w:val="00E34386"/>
    <w:rsid w:val="00E37D98"/>
    <w:rsid w:val="00E37E23"/>
    <w:rsid w:val="00E4171A"/>
    <w:rsid w:val="00E428E0"/>
    <w:rsid w:val="00E45FE7"/>
    <w:rsid w:val="00E52D27"/>
    <w:rsid w:val="00E54205"/>
    <w:rsid w:val="00E5434D"/>
    <w:rsid w:val="00E55DB3"/>
    <w:rsid w:val="00E568EA"/>
    <w:rsid w:val="00E82089"/>
    <w:rsid w:val="00E8404C"/>
    <w:rsid w:val="00E87616"/>
    <w:rsid w:val="00E90759"/>
    <w:rsid w:val="00E92E60"/>
    <w:rsid w:val="00E95EFA"/>
    <w:rsid w:val="00EB10CE"/>
    <w:rsid w:val="00EB6D12"/>
    <w:rsid w:val="00EC3B5B"/>
    <w:rsid w:val="00EE5AAC"/>
    <w:rsid w:val="00EF16B0"/>
    <w:rsid w:val="00EF1E77"/>
    <w:rsid w:val="00EF2BCC"/>
    <w:rsid w:val="00F07021"/>
    <w:rsid w:val="00F3186B"/>
    <w:rsid w:val="00F36470"/>
    <w:rsid w:val="00F43C22"/>
    <w:rsid w:val="00F51063"/>
    <w:rsid w:val="00F533F9"/>
    <w:rsid w:val="00F54064"/>
    <w:rsid w:val="00F541E0"/>
    <w:rsid w:val="00F7798C"/>
    <w:rsid w:val="00F834B9"/>
    <w:rsid w:val="00F8369E"/>
    <w:rsid w:val="00FA40FF"/>
    <w:rsid w:val="00FE0494"/>
    <w:rsid w:val="00FE4E94"/>
    <w:rsid w:val="00FE6E6B"/>
    <w:rsid w:val="00FF462B"/>
    <w:rsid w:val="00FF539C"/>
    <w:rsid w:val="00FF5FEE"/>
    <w:rsid w:val="00FF74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5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4164"/>
    <w:pPr>
      <w:widowControl w:val="0"/>
      <w:tabs>
        <w:tab w:val="center" w:pos="4536"/>
        <w:tab w:val="right" w:pos="9072"/>
      </w:tabs>
      <w:autoSpaceDE w:val="0"/>
      <w:autoSpaceDN w:val="0"/>
      <w:adjustRightInd w:val="0"/>
      <w:spacing w:after="0" w:line="240" w:lineRule="auto"/>
    </w:pPr>
    <w:rPr>
      <w:rFonts w:ascii="Verdana" w:eastAsia="Times New Roman" w:hAnsi="Verdana" w:cs="Verdana"/>
      <w:sz w:val="20"/>
      <w:szCs w:val="20"/>
      <w:lang w:eastAsia="tr-TR"/>
    </w:rPr>
  </w:style>
  <w:style w:type="character" w:customStyle="1" w:styleId="stbilgiChar">
    <w:name w:val="Üstbilgi Char"/>
    <w:basedOn w:val="VarsaylanParagrafYazTipi"/>
    <w:link w:val="stbilgi"/>
    <w:uiPriority w:val="99"/>
    <w:semiHidden/>
    <w:rsid w:val="009D4164"/>
    <w:rPr>
      <w:rFonts w:ascii="Verdana" w:eastAsia="Times New Roman" w:hAnsi="Verdana" w:cs="Verdana"/>
      <w:sz w:val="20"/>
      <w:szCs w:val="20"/>
      <w:lang w:eastAsia="tr-TR"/>
    </w:rPr>
  </w:style>
  <w:style w:type="paragraph" w:styleId="Altbilgi">
    <w:name w:val="footer"/>
    <w:basedOn w:val="Normal"/>
    <w:link w:val="AltbilgiChar"/>
    <w:uiPriority w:val="99"/>
    <w:unhideWhenUsed/>
    <w:rsid w:val="009D4164"/>
    <w:pPr>
      <w:widowControl w:val="0"/>
      <w:tabs>
        <w:tab w:val="center" w:pos="4536"/>
        <w:tab w:val="right" w:pos="9072"/>
      </w:tabs>
      <w:autoSpaceDE w:val="0"/>
      <w:autoSpaceDN w:val="0"/>
      <w:adjustRightInd w:val="0"/>
      <w:spacing w:after="0" w:line="240" w:lineRule="auto"/>
    </w:pPr>
    <w:rPr>
      <w:rFonts w:ascii="Verdana" w:eastAsia="Times New Roman" w:hAnsi="Verdana" w:cs="Verdana"/>
      <w:sz w:val="20"/>
      <w:szCs w:val="20"/>
      <w:lang w:eastAsia="tr-TR"/>
    </w:rPr>
  </w:style>
  <w:style w:type="character" w:customStyle="1" w:styleId="AltbilgiChar">
    <w:name w:val="Altbilgi Char"/>
    <w:basedOn w:val="VarsaylanParagrafYazTipi"/>
    <w:link w:val="Altbilgi"/>
    <w:uiPriority w:val="99"/>
    <w:rsid w:val="009D4164"/>
    <w:rPr>
      <w:rFonts w:ascii="Verdana" w:eastAsia="Times New Roman" w:hAnsi="Verdana" w:cs="Verdana"/>
      <w:sz w:val="20"/>
      <w:szCs w:val="20"/>
      <w:lang w:eastAsia="tr-TR"/>
    </w:rPr>
  </w:style>
  <w:style w:type="paragraph" w:styleId="ListeParagraf">
    <w:name w:val="List Paragraph"/>
    <w:basedOn w:val="Normal"/>
    <w:uiPriority w:val="34"/>
    <w:qFormat/>
    <w:rsid w:val="00027DB4"/>
    <w:pPr>
      <w:ind w:left="720"/>
      <w:contextualSpacing/>
    </w:pPr>
  </w:style>
  <w:style w:type="table" w:styleId="TabloKlavuzu">
    <w:name w:val="Table Grid"/>
    <w:basedOn w:val="NormalTablo"/>
    <w:uiPriority w:val="59"/>
    <w:rsid w:val="00027D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96D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DF1"/>
    <w:rPr>
      <w:rFonts w:ascii="Tahoma" w:hAnsi="Tahoma" w:cs="Tahoma"/>
      <w:sz w:val="16"/>
      <w:szCs w:val="16"/>
    </w:rPr>
  </w:style>
  <w:style w:type="character" w:styleId="AklamaBavurusu">
    <w:name w:val="annotation reference"/>
    <w:basedOn w:val="VarsaylanParagrafYazTipi"/>
    <w:uiPriority w:val="99"/>
    <w:semiHidden/>
    <w:unhideWhenUsed/>
    <w:rsid w:val="006C3214"/>
    <w:rPr>
      <w:sz w:val="16"/>
      <w:szCs w:val="16"/>
    </w:rPr>
  </w:style>
  <w:style w:type="paragraph" w:styleId="AklamaMetni">
    <w:name w:val="annotation text"/>
    <w:basedOn w:val="Normal"/>
    <w:link w:val="AklamaMetniChar"/>
    <w:uiPriority w:val="99"/>
    <w:semiHidden/>
    <w:unhideWhenUsed/>
    <w:rsid w:val="006C32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3214"/>
    <w:rPr>
      <w:sz w:val="20"/>
      <w:szCs w:val="20"/>
    </w:rPr>
  </w:style>
  <w:style w:type="paragraph" w:styleId="AklamaKonusu">
    <w:name w:val="annotation subject"/>
    <w:basedOn w:val="AklamaMetni"/>
    <w:next w:val="AklamaMetni"/>
    <w:link w:val="AklamaKonusuChar"/>
    <w:uiPriority w:val="99"/>
    <w:semiHidden/>
    <w:unhideWhenUsed/>
    <w:rsid w:val="006C3214"/>
    <w:rPr>
      <w:b/>
      <w:bCs/>
    </w:rPr>
  </w:style>
  <w:style w:type="character" w:customStyle="1" w:styleId="AklamaKonusuChar">
    <w:name w:val="Açıklama Konusu Char"/>
    <w:basedOn w:val="AklamaMetniChar"/>
    <w:link w:val="AklamaKonusu"/>
    <w:uiPriority w:val="99"/>
    <w:semiHidden/>
    <w:rsid w:val="006C3214"/>
    <w:rPr>
      <w:b/>
      <w:bCs/>
    </w:rPr>
  </w:style>
  <w:style w:type="paragraph" w:styleId="Dzeltme">
    <w:name w:val="Revision"/>
    <w:hidden/>
    <w:uiPriority w:val="99"/>
    <w:semiHidden/>
    <w:rsid w:val="001751A5"/>
    <w:rPr>
      <w:sz w:val="22"/>
      <w:szCs w:val="22"/>
      <w:lang w:eastAsia="en-US"/>
    </w:rPr>
  </w:style>
  <w:style w:type="character" w:styleId="Kpr">
    <w:name w:val="Hyperlink"/>
    <w:basedOn w:val="VarsaylanParagrafYazTipi"/>
    <w:uiPriority w:val="99"/>
    <w:unhideWhenUsed/>
    <w:rsid w:val="004E7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759285">
      <w:bodyDiv w:val="1"/>
      <w:marLeft w:val="0"/>
      <w:marRight w:val="0"/>
      <w:marTop w:val="0"/>
      <w:marBottom w:val="0"/>
      <w:divBdr>
        <w:top w:val="none" w:sz="0" w:space="0" w:color="auto"/>
        <w:left w:val="none" w:sz="0" w:space="0" w:color="auto"/>
        <w:bottom w:val="none" w:sz="0" w:space="0" w:color="auto"/>
        <w:right w:val="none" w:sz="0" w:space="0" w:color="auto"/>
      </w:divBdr>
    </w:div>
    <w:div w:id="119685452">
      <w:bodyDiv w:val="1"/>
      <w:marLeft w:val="0"/>
      <w:marRight w:val="0"/>
      <w:marTop w:val="0"/>
      <w:marBottom w:val="0"/>
      <w:divBdr>
        <w:top w:val="none" w:sz="0" w:space="0" w:color="auto"/>
        <w:left w:val="none" w:sz="0" w:space="0" w:color="auto"/>
        <w:bottom w:val="none" w:sz="0" w:space="0" w:color="auto"/>
        <w:right w:val="none" w:sz="0" w:space="0" w:color="auto"/>
      </w:divBdr>
    </w:div>
    <w:div w:id="175772259">
      <w:bodyDiv w:val="1"/>
      <w:marLeft w:val="0"/>
      <w:marRight w:val="0"/>
      <w:marTop w:val="0"/>
      <w:marBottom w:val="0"/>
      <w:divBdr>
        <w:top w:val="none" w:sz="0" w:space="0" w:color="auto"/>
        <w:left w:val="none" w:sz="0" w:space="0" w:color="auto"/>
        <w:bottom w:val="none" w:sz="0" w:space="0" w:color="auto"/>
        <w:right w:val="none" w:sz="0" w:space="0" w:color="auto"/>
      </w:divBdr>
    </w:div>
    <w:div w:id="297224657">
      <w:bodyDiv w:val="1"/>
      <w:marLeft w:val="0"/>
      <w:marRight w:val="0"/>
      <w:marTop w:val="0"/>
      <w:marBottom w:val="0"/>
      <w:divBdr>
        <w:top w:val="none" w:sz="0" w:space="0" w:color="auto"/>
        <w:left w:val="none" w:sz="0" w:space="0" w:color="auto"/>
        <w:bottom w:val="none" w:sz="0" w:space="0" w:color="auto"/>
        <w:right w:val="none" w:sz="0" w:space="0" w:color="auto"/>
      </w:divBdr>
    </w:div>
    <w:div w:id="352607964">
      <w:bodyDiv w:val="1"/>
      <w:marLeft w:val="0"/>
      <w:marRight w:val="0"/>
      <w:marTop w:val="0"/>
      <w:marBottom w:val="0"/>
      <w:divBdr>
        <w:top w:val="none" w:sz="0" w:space="0" w:color="auto"/>
        <w:left w:val="none" w:sz="0" w:space="0" w:color="auto"/>
        <w:bottom w:val="none" w:sz="0" w:space="0" w:color="auto"/>
        <w:right w:val="none" w:sz="0" w:space="0" w:color="auto"/>
      </w:divBdr>
    </w:div>
    <w:div w:id="368996590">
      <w:bodyDiv w:val="1"/>
      <w:marLeft w:val="0"/>
      <w:marRight w:val="0"/>
      <w:marTop w:val="0"/>
      <w:marBottom w:val="0"/>
      <w:divBdr>
        <w:top w:val="none" w:sz="0" w:space="0" w:color="auto"/>
        <w:left w:val="none" w:sz="0" w:space="0" w:color="auto"/>
        <w:bottom w:val="none" w:sz="0" w:space="0" w:color="auto"/>
        <w:right w:val="none" w:sz="0" w:space="0" w:color="auto"/>
      </w:divBdr>
    </w:div>
    <w:div w:id="387724694">
      <w:bodyDiv w:val="1"/>
      <w:marLeft w:val="0"/>
      <w:marRight w:val="0"/>
      <w:marTop w:val="0"/>
      <w:marBottom w:val="0"/>
      <w:divBdr>
        <w:top w:val="none" w:sz="0" w:space="0" w:color="auto"/>
        <w:left w:val="none" w:sz="0" w:space="0" w:color="auto"/>
        <w:bottom w:val="none" w:sz="0" w:space="0" w:color="auto"/>
        <w:right w:val="none" w:sz="0" w:space="0" w:color="auto"/>
      </w:divBdr>
    </w:div>
    <w:div w:id="398023751">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610161175">
      <w:bodyDiv w:val="1"/>
      <w:marLeft w:val="0"/>
      <w:marRight w:val="0"/>
      <w:marTop w:val="0"/>
      <w:marBottom w:val="0"/>
      <w:divBdr>
        <w:top w:val="none" w:sz="0" w:space="0" w:color="auto"/>
        <w:left w:val="none" w:sz="0" w:space="0" w:color="auto"/>
        <w:bottom w:val="none" w:sz="0" w:space="0" w:color="auto"/>
        <w:right w:val="none" w:sz="0" w:space="0" w:color="auto"/>
      </w:divBdr>
    </w:div>
    <w:div w:id="619072712">
      <w:bodyDiv w:val="1"/>
      <w:marLeft w:val="0"/>
      <w:marRight w:val="0"/>
      <w:marTop w:val="0"/>
      <w:marBottom w:val="0"/>
      <w:divBdr>
        <w:top w:val="none" w:sz="0" w:space="0" w:color="auto"/>
        <w:left w:val="none" w:sz="0" w:space="0" w:color="auto"/>
        <w:bottom w:val="none" w:sz="0" w:space="0" w:color="auto"/>
        <w:right w:val="none" w:sz="0" w:space="0" w:color="auto"/>
      </w:divBdr>
    </w:div>
    <w:div w:id="631792121">
      <w:bodyDiv w:val="1"/>
      <w:marLeft w:val="0"/>
      <w:marRight w:val="0"/>
      <w:marTop w:val="0"/>
      <w:marBottom w:val="0"/>
      <w:divBdr>
        <w:top w:val="none" w:sz="0" w:space="0" w:color="auto"/>
        <w:left w:val="none" w:sz="0" w:space="0" w:color="auto"/>
        <w:bottom w:val="none" w:sz="0" w:space="0" w:color="auto"/>
        <w:right w:val="none" w:sz="0" w:space="0" w:color="auto"/>
      </w:divBdr>
    </w:div>
    <w:div w:id="694119954">
      <w:bodyDiv w:val="1"/>
      <w:marLeft w:val="0"/>
      <w:marRight w:val="0"/>
      <w:marTop w:val="0"/>
      <w:marBottom w:val="0"/>
      <w:divBdr>
        <w:top w:val="none" w:sz="0" w:space="0" w:color="auto"/>
        <w:left w:val="none" w:sz="0" w:space="0" w:color="auto"/>
        <w:bottom w:val="none" w:sz="0" w:space="0" w:color="auto"/>
        <w:right w:val="none" w:sz="0" w:space="0" w:color="auto"/>
      </w:divBdr>
    </w:div>
    <w:div w:id="706026947">
      <w:bodyDiv w:val="1"/>
      <w:marLeft w:val="0"/>
      <w:marRight w:val="0"/>
      <w:marTop w:val="0"/>
      <w:marBottom w:val="0"/>
      <w:divBdr>
        <w:top w:val="none" w:sz="0" w:space="0" w:color="auto"/>
        <w:left w:val="none" w:sz="0" w:space="0" w:color="auto"/>
        <w:bottom w:val="none" w:sz="0" w:space="0" w:color="auto"/>
        <w:right w:val="none" w:sz="0" w:space="0" w:color="auto"/>
      </w:divBdr>
    </w:div>
    <w:div w:id="708185286">
      <w:bodyDiv w:val="1"/>
      <w:marLeft w:val="0"/>
      <w:marRight w:val="0"/>
      <w:marTop w:val="0"/>
      <w:marBottom w:val="0"/>
      <w:divBdr>
        <w:top w:val="none" w:sz="0" w:space="0" w:color="auto"/>
        <w:left w:val="none" w:sz="0" w:space="0" w:color="auto"/>
        <w:bottom w:val="none" w:sz="0" w:space="0" w:color="auto"/>
        <w:right w:val="none" w:sz="0" w:space="0" w:color="auto"/>
      </w:divBdr>
    </w:div>
    <w:div w:id="748766975">
      <w:bodyDiv w:val="1"/>
      <w:marLeft w:val="0"/>
      <w:marRight w:val="0"/>
      <w:marTop w:val="0"/>
      <w:marBottom w:val="0"/>
      <w:divBdr>
        <w:top w:val="none" w:sz="0" w:space="0" w:color="auto"/>
        <w:left w:val="none" w:sz="0" w:space="0" w:color="auto"/>
        <w:bottom w:val="none" w:sz="0" w:space="0" w:color="auto"/>
        <w:right w:val="none" w:sz="0" w:space="0" w:color="auto"/>
      </w:divBdr>
    </w:div>
    <w:div w:id="824973513">
      <w:bodyDiv w:val="1"/>
      <w:marLeft w:val="0"/>
      <w:marRight w:val="0"/>
      <w:marTop w:val="0"/>
      <w:marBottom w:val="0"/>
      <w:divBdr>
        <w:top w:val="none" w:sz="0" w:space="0" w:color="auto"/>
        <w:left w:val="none" w:sz="0" w:space="0" w:color="auto"/>
        <w:bottom w:val="none" w:sz="0" w:space="0" w:color="auto"/>
        <w:right w:val="none" w:sz="0" w:space="0" w:color="auto"/>
      </w:divBdr>
    </w:div>
    <w:div w:id="960495933">
      <w:bodyDiv w:val="1"/>
      <w:marLeft w:val="0"/>
      <w:marRight w:val="0"/>
      <w:marTop w:val="0"/>
      <w:marBottom w:val="0"/>
      <w:divBdr>
        <w:top w:val="none" w:sz="0" w:space="0" w:color="auto"/>
        <w:left w:val="none" w:sz="0" w:space="0" w:color="auto"/>
        <w:bottom w:val="none" w:sz="0" w:space="0" w:color="auto"/>
        <w:right w:val="none" w:sz="0" w:space="0" w:color="auto"/>
      </w:divBdr>
    </w:div>
    <w:div w:id="1057241220">
      <w:bodyDiv w:val="1"/>
      <w:marLeft w:val="0"/>
      <w:marRight w:val="0"/>
      <w:marTop w:val="0"/>
      <w:marBottom w:val="0"/>
      <w:divBdr>
        <w:top w:val="none" w:sz="0" w:space="0" w:color="auto"/>
        <w:left w:val="none" w:sz="0" w:space="0" w:color="auto"/>
        <w:bottom w:val="none" w:sz="0" w:space="0" w:color="auto"/>
        <w:right w:val="none" w:sz="0" w:space="0" w:color="auto"/>
      </w:divBdr>
    </w:div>
    <w:div w:id="1079517193">
      <w:bodyDiv w:val="1"/>
      <w:marLeft w:val="0"/>
      <w:marRight w:val="0"/>
      <w:marTop w:val="0"/>
      <w:marBottom w:val="0"/>
      <w:divBdr>
        <w:top w:val="none" w:sz="0" w:space="0" w:color="auto"/>
        <w:left w:val="none" w:sz="0" w:space="0" w:color="auto"/>
        <w:bottom w:val="none" w:sz="0" w:space="0" w:color="auto"/>
        <w:right w:val="none" w:sz="0" w:space="0" w:color="auto"/>
      </w:divBdr>
    </w:div>
    <w:div w:id="1155025452">
      <w:bodyDiv w:val="1"/>
      <w:marLeft w:val="0"/>
      <w:marRight w:val="0"/>
      <w:marTop w:val="0"/>
      <w:marBottom w:val="0"/>
      <w:divBdr>
        <w:top w:val="none" w:sz="0" w:space="0" w:color="auto"/>
        <w:left w:val="none" w:sz="0" w:space="0" w:color="auto"/>
        <w:bottom w:val="none" w:sz="0" w:space="0" w:color="auto"/>
        <w:right w:val="none" w:sz="0" w:space="0" w:color="auto"/>
      </w:divBdr>
    </w:div>
    <w:div w:id="1201241583">
      <w:bodyDiv w:val="1"/>
      <w:marLeft w:val="0"/>
      <w:marRight w:val="0"/>
      <w:marTop w:val="0"/>
      <w:marBottom w:val="0"/>
      <w:divBdr>
        <w:top w:val="none" w:sz="0" w:space="0" w:color="auto"/>
        <w:left w:val="none" w:sz="0" w:space="0" w:color="auto"/>
        <w:bottom w:val="none" w:sz="0" w:space="0" w:color="auto"/>
        <w:right w:val="none" w:sz="0" w:space="0" w:color="auto"/>
      </w:divBdr>
    </w:div>
    <w:div w:id="1330404232">
      <w:bodyDiv w:val="1"/>
      <w:marLeft w:val="0"/>
      <w:marRight w:val="0"/>
      <w:marTop w:val="0"/>
      <w:marBottom w:val="0"/>
      <w:divBdr>
        <w:top w:val="none" w:sz="0" w:space="0" w:color="auto"/>
        <w:left w:val="none" w:sz="0" w:space="0" w:color="auto"/>
        <w:bottom w:val="none" w:sz="0" w:space="0" w:color="auto"/>
        <w:right w:val="none" w:sz="0" w:space="0" w:color="auto"/>
      </w:divBdr>
    </w:div>
    <w:div w:id="1377970575">
      <w:bodyDiv w:val="1"/>
      <w:marLeft w:val="0"/>
      <w:marRight w:val="0"/>
      <w:marTop w:val="0"/>
      <w:marBottom w:val="0"/>
      <w:divBdr>
        <w:top w:val="none" w:sz="0" w:space="0" w:color="auto"/>
        <w:left w:val="none" w:sz="0" w:space="0" w:color="auto"/>
        <w:bottom w:val="none" w:sz="0" w:space="0" w:color="auto"/>
        <w:right w:val="none" w:sz="0" w:space="0" w:color="auto"/>
      </w:divBdr>
    </w:div>
    <w:div w:id="1396389569">
      <w:bodyDiv w:val="1"/>
      <w:marLeft w:val="0"/>
      <w:marRight w:val="0"/>
      <w:marTop w:val="0"/>
      <w:marBottom w:val="0"/>
      <w:divBdr>
        <w:top w:val="none" w:sz="0" w:space="0" w:color="auto"/>
        <w:left w:val="none" w:sz="0" w:space="0" w:color="auto"/>
        <w:bottom w:val="none" w:sz="0" w:space="0" w:color="auto"/>
        <w:right w:val="none" w:sz="0" w:space="0" w:color="auto"/>
      </w:divBdr>
    </w:div>
    <w:div w:id="1427731993">
      <w:bodyDiv w:val="1"/>
      <w:marLeft w:val="0"/>
      <w:marRight w:val="0"/>
      <w:marTop w:val="0"/>
      <w:marBottom w:val="0"/>
      <w:divBdr>
        <w:top w:val="none" w:sz="0" w:space="0" w:color="auto"/>
        <w:left w:val="none" w:sz="0" w:space="0" w:color="auto"/>
        <w:bottom w:val="none" w:sz="0" w:space="0" w:color="auto"/>
        <w:right w:val="none" w:sz="0" w:space="0" w:color="auto"/>
      </w:divBdr>
    </w:div>
    <w:div w:id="1531412382">
      <w:bodyDiv w:val="1"/>
      <w:marLeft w:val="0"/>
      <w:marRight w:val="0"/>
      <w:marTop w:val="0"/>
      <w:marBottom w:val="0"/>
      <w:divBdr>
        <w:top w:val="none" w:sz="0" w:space="0" w:color="auto"/>
        <w:left w:val="none" w:sz="0" w:space="0" w:color="auto"/>
        <w:bottom w:val="none" w:sz="0" w:space="0" w:color="auto"/>
        <w:right w:val="none" w:sz="0" w:space="0" w:color="auto"/>
      </w:divBdr>
    </w:div>
    <w:div w:id="1578979217">
      <w:bodyDiv w:val="1"/>
      <w:marLeft w:val="0"/>
      <w:marRight w:val="0"/>
      <w:marTop w:val="0"/>
      <w:marBottom w:val="0"/>
      <w:divBdr>
        <w:top w:val="none" w:sz="0" w:space="0" w:color="auto"/>
        <w:left w:val="none" w:sz="0" w:space="0" w:color="auto"/>
        <w:bottom w:val="none" w:sz="0" w:space="0" w:color="auto"/>
        <w:right w:val="none" w:sz="0" w:space="0" w:color="auto"/>
      </w:divBdr>
    </w:div>
    <w:div w:id="1616325394">
      <w:bodyDiv w:val="1"/>
      <w:marLeft w:val="0"/>
      <w:marRight w:val="0"/>
      <w:marTop w:val="0"/>
      <w:marBottom w:val="0"/>
      <w:divBdr>
        <w:top w:val="none" w:sz="0" w:space="0" w:color="auto"/>
        <w:left w:val="none" w:sz="0" w:space="0" w:color="auto"/>
        <w:bottom w:val="none" w:sz="0" w:space="0" w:color="auto"/>
        <w:right w:val="none" w:sz="0" w:space="0" w:color="auto"/>
      </w:divBdr>
    </w:div>
    <w:div w:id="1646622813">
      <w:bodyDiv w:val="1"/>
      <w:marLeft w:val="0"/>
      <w:marRight w:val="0"/>
      <w:marTop w:val="0"/>
      <w:marBottom w:val="0"/>
      <w:divBdr>
        <w:top w:val="none" w:sz="0" w:space="0" w:color="auto"/>
        <w:left w:val="none" w:sz="0" w:space="0" w:color="auto"/>
        <w:bottom w:val="none" w:sz="0" w:space="0" w:color="auto"/>
        <w:right w:val="none" w:sz="0" w:space="0" w:color="auto"/>
      </w:divBdr>
    </w:div>
    <w:div w:id="1692997449">
      <w:bodyDiv w:val="1"/>
      <w:marLeft w:val="0"/>
      <w:marRight w:val="0"/>
      <w:marTop w:val="0"/>
      <w:marBottom w:val="0"/>
      <w:divBdr>
        <w:top w:val="none" w:sz="0" w:space="0" w:color="auto"/>
        <w:left w:val="none" w:sz="0" w:space="0" w:color="auto"/>
        <w:bottom w:val="none" w:sz="0" w:space="0" w:color="auto"/>
        <w:right w:val="none" w:sz="0" w:space="0" w:color="auto"/>
      </w:divBdr>
    </w:div>
    <w:div w:id="1732535234">
      <w:bodyDiv w:val="1"/>
      <w:marLeft w:val="0"/>
      <w:marRight w:val="0"/>
      <w:marTop w:val="0"/>
      <w:marBottom w:val="0"/>
      <w:divBdr>
        <w:top w:val="none" w:sz="0" w:space="0" w:color="auto"/>
        <w:left w:val="none" w:sz="0" w:space="0" w:color="auto"/>
        <w:bottom w:val="none" w:sz="0" w:space="0" w:color="auto"/>
        <w:right w:val="none" w:sz="0" w:space="0" w:color="auto"/>
      </w:divBdr>
    </w:div>
    <w:div w:id="1781877978">
      <w:bodyDiv w:val="1"/>
      <w:marLeft w:val="0"/>
      <w:marRight w:val="0"/>
      <w:marTop w:val="0"/>
      <w:marBottom w:val="0"/>
      <w:divBdr>
        <w:top w:val="none" w:sz="0" w:space="0" w:color="auto"/>
        <w:left w:val="none" w:sz="0" w:space="0" w:color="auto"/>
        <w:bottom w:val="none" w:sz="0" w:space="0" w:color="auto"/>
        <w:right w:val="none" w:sz="0" w:space="0" w:color="auto"/>
      </w:divBdr>
    </w:div>
    <w:div w:id="1823228988">
      <w:bodyDiv w:val="1"/>
      <w:marLeft w:val="0"/>
      <w:marRight w:val="0"/>
      <w:marTop w:val="0"/>
      <w:marBottom w:val="0"/>
      <w:divBdr>
        <w:top w:val="none" w:sz="0" w:space="0" w:color="auto"/>
        <w:left w:val="none" w:sz="0" w:space="0" w:color="auto"/>
        <w:bottom w:val="none" w:sz="0" w:space="0" w:color="auto"/>
        <w:right w:val="none" w:sz="0" w:space="0" w:color="auto"/>
      </w:divBdr>
    </w:div>
    <w:div w:id="1935631451">
      <w:bodyDiv w:val="1"/>
      <w:marLeft w:val="0"/>
      <w:marRight w:val="0"/>
      <w:marTop w:val="0"/>
      <w:marBottom w:val="0"/>
      <w:divBdr>
        <w:top w:val="none" w:sz="0" w:space="0" w:color="auto"/>
        <w:left w:val="none" w:sz="0" w:space="0" w:color="auto"/>
        <w:bottom w:val="none" w:sz="0" w:space="0" w:color="auto"/>
        <w:right w:val="none" w:sz="0" w:space="0" w:color="auto"/>
      </w:divBdr>
    </w:div>
    <w:div w:id="1943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tck.gov.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10459</Words>
  <Characters>59620</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fersari</cp:lastModifiedBy>
  <cp:revision>5</cp:revision>
  <cp:lastPrinted>2014-07-15T10:17:00Z</cp:lastPrinted>
  <dcterms:created xsi:type="dcterms:W3CDTF">2014-07-15T10:15:00Z</dcterms:created>
  <dcterms:modified xsi:type="dcterms:W3CDTF">2014-12-31T07:12:00Z</dcterms:modified>
</cp:coreProperties>
</file>