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1" w:rsidRPr="00C42B23" w:rsidRDefault="004158F1" w:rsidP="004B6D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C42B23">
        <w:rPr>
          <w:rFonts w:ascii="Times New Roman" w:eastAsia="TimesNewRoman" w:hAnsi="Times New Roman" w:cs="Times New Roman"/>
          <w:b/>
          <w:sz w:val="24"/>
          <w:szCs w:val="24"/>
        </w:rPr>
        <w:t>KISA ÜRÜN BİLGİSİ</w:t>
      </w:r>
    </w:p>
    <w:p w:rsidR="004158F1" w:rsidRPr="00C42B23" w:rsidRDefault="004158F1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4158F1" w:rsidRPr="00C42B23" w:rsidRDefault="004158F1" w:rsidP="004B6D1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/>
          <w:bCs/>
          <w:sz w:val="24"/>
          <w:szCs w:val="24"/>
        </w:rPr>
        <w:t>BEŞERİ TIBBİ ÜRÜNÜN ADI</w:t>
      </w:r>
    </w:p>
    <w:p w:rsidR="0084068F" w:rsidRPr="00571E58" w:rsidRDefault="0084068F" w:rsidP="004B6D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E58">
        <w:rPr>
          <w:rFonts w:ascii="Times New Roman" w:hAnsi="Times New Roman" w:cs="Times New Roman"/>
          <w:sz w:val="24"/>
          <w:szCs w:val="24"/>
        </w:rPr>
        <w:t>ETOPEX 100 mg/5 ml</w:t>
      </w:r>
      <w:r w:rsidR="001441DB" w:rsidRPr="00571E5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1441DB" w:rsidRPr="00571E58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1441DB" w:rsidRPr="00571E58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gramStart"/>
      <w:r w:rsidR="001441DB" w:rsidRPr="00571E58">
        <w:rPr>
          <w:rFonts w:ascii="Times New Roman" w:hAnsi="Times New Roman" w:cs="Times New Roman"/>
          <w:sz w:val="24"/>
          <w:szCs w:val="24"/>
        </w:rPr>
        <w:t>konsantre</w:t>
      </w:r>
      <w:proofErr w:type="gramEnd"/>
      <w:r w:rsidR="001441DB" w:rsidRPr="00571E58">
        <w:rPr>
          <w:rFonts w:ascii="Times New Roman" w:hAnsi="Times New Roman" w:cs="Times New Roman"/>
          <w:sz w:val="24"/>
          <w:szCs w:val="24"/>
        </w:rPr>
        <w:t xml:space="preserve"> çözelti içeren </w:t>
      </w:r>
      <w:proofErr w:type="spellStart"/>
      <w:r w:rsidR="001441DB" w:rsidRPr="00571E58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57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16" w:rsidRPr="00F4082E" w:rsidRDefault="004B6D16" w:rsidP="004B6D16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58F1" w:rsidRPr="00571E58" w:rsidRDefault="004158F1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71E58">
        <w:rPr>
          <w:rFonts w:ascii="Times New Roman" w:eastAsia="TimesNewRoman,Bold" w:hAnsi="Times New Roman" w:cs="Times New Roman"/>
          <w:b/>
          <w:bCs/>
          <w:sz w:val="24"/>
          <w:szCs w:val="24"/>
        </w:rPr>
        <w:t>2. KALİTATİF VE KANTİTATİF BİLEŞİM</w:t>
      </w:r>
    </w:p>
    <w:p w:rsidR="00E62A81" w:rsidRPr="00571E58" w:rsidRDefault="004158F1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71E58">
        <w:rPr>
          <w:rFonts w:ascii="Times New Roman" w:eastAsia="TimesNewRoman,Bold" w:hAnsi="Times New Roman" w:cs="Times New Roman"/>
          <w:b/>
          <w:bCs/>
          <w:sz w:val="24"/>
          <w:szCs w:val="24"/>
        </w:rPr>
        <w:t>Etkin madde:</w:t>
      </w:r>
    </w:p>
    <w:p w:rsidR="00623349" w:rsidRPr="00571E58" w:rsidRDefault="00571E58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58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571E58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571E58">
        <w:rPr>
          <w:rFonts w:ascii="Times New Roman" w:hAnsi="Times New Roman" w:cs="Times New Roman"/>
          <w:sz w:val="24"/>
          <w:szCs w:val="24"/>
        </w:rPr>
        <w:t xml:space="preserve"> (5 ml) 100 mg </w:t>
      </w:r>
      <w:proofErr w:type="spellStart"/>
      <w:r w:rsidRPr="00571E58">
        <w:rPr>
          <w:rFonts w:ascii="Times New Roman" w:hAnsi="Times New Roman" w:cs="Times New Roman"/>
          <w:sz w:val="24"/>
          <w:szCs w:val="24"/>
        </w:rPr>
        <w:t>etoposid</w:t>
      </w:r>
      <w:proofErr w:type="spellEnd"/>
      <w:r w:rsidRPr="00571E58">
        <w:rPr>
          <w:rFonts w:ascii="Times New Roman" w:hAnsi="Times New Roman" w:cs="Times New Roman"/>
          <w:sz w:val="24"/>
          <w:szCs w:val="24"/>
        </w:rPr>
        <w:t xml:space="preserve"> içerir.</w:t>
      </w:r>
    </w:p>
    <w:p w:rsidR="00571E58" w:rsidRPr="00571E58" w:rsidRDefault="00405BAA" w:rsidP="00571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58">
        <w:rPr>
          <w:rFonts w:ascii="Times New Roman" w:hAnsi="Times New Roman" w:cs="Times New Roman"/>
          <w:b/>
          <w:sz w:val="24"/>
          <w:szCs w:val="24"/>
        </w:rPr>
        <w:t>Yardımcı madde</w:t>
      </w:r>
      <w:r w:rsidR="004158F1" w:rsidRPr="00571E58">
        <w:rPr>
          <w:rFonts w:ascii="Times New Roman" w:hAnsi="Times New Roman" w:cs="Times New Roman"/>
          <w:b/>
          <w:sz w:val="24"/>
          <w:szCs w:val="24"/>
        </w:rPr>
        <w:t>ler:</w:t>
      </w:r>
      <w:r w:rsidR="004158F1" w:rsidRPr="0057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E58" w:rsidRPr="00571E58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="00571E58" w:rsidRPr="00571E58">
        <w:rPr>
          <w:rFonts w:ascii="Times New Roman" w:hAnsi="Times New Roman" w:cs="Times New Roman"/>
          <w:sz w:val="24"/>
          <w:szCs w:val="24"/>
        </w:rPr>
        <w:t xml:space="preserve"> alkol, sitrik asit </w:t>
      </w:r>
      <w:proofErr w:type="spellStart"/>
      <w:r w:rsidR="00571E58" w:rsidRPr="00571E58">
        <w:rPr>
          <w:rFonts w:ascii="Times New Roman" w:hAnsi="Times New Roman" w:cs="Times New Roman"/>
          <w:sz w:val="24"/>
          <w:szCs w:val="24"/>
        </w:rPr>
        <w:t>anhidr</w:t>
      </w:r>
      <w:proofErr w:type="spellEnd"/>
      <w:r w:rsidR="00571E58" w:rsidRPr="00571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E58" w:rsidRPr="00571E58">
        <w:rPr>
          <w:rFonts w:ascii="Times New Roman" w:hAnsi="Times New Roman" w:cs="Times New Roman"/>
          <w:sz w:val="24"/>
          <w:szCs w:val="24"/>
        </w:rPr>
        <w:t>absolü</w:t>
      </w:r>
      <w:proofErr w:type="spellEnd"/>
      <w:r w:rsidR="00571E58" w:rsidRPr="00571E58">
        <w:rPr>
          <w:rFonts w:ascii="Times New Roman" w:hAnsi="Times New Roman" w:cs="Times New Roman"/>
          <w:sz w:val="24"/>
          <w:szCs w:val="24"/>
        </w:rPr>
        <w:t xml:space="preserve"> etanol, </w:t>
      </w:r>
      <w:proofErr w:type="spellStart"/>
      <w:r w:rsidR="00571E58" w:rsidRPr="00571E58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="00571E58" w:rsidRPr="00571E58">
        <w:rPr>
          <w:rFonts w:ascii="Times New Roman" w:hAnsi="Times New Roman" w:cs="Times New Roman"/>
          <w:sz w:val="24"/>
          <w:szCs w:val="24"/>
        </w:rPr>
        <w:t xml:space="preserve"> 80, PEG 300.</w:t>
      </w:r>
    </w:p>
    <w:p w:rsidR="00571E58" w:rsidRDefault="00571E58" w:rsidP="00571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ETOPEX’</w:t>
      </w:r>
      <w:r w:rsidR="007C54E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ml’</w:t>
      </w:r>
      <w:r w:rsidRPr="00571E58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571E58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6332E3">
        <w:rPr>
          <w:rFonts w:ascii="Times New Roman" w:hAnsi="Times New Roman" w:cs="Times New Roman"/>
          <w:i/>
          <w:sz w:val="24"/>
          <w:szCs w:val="24"/>
        </w:rPr>
        <w:t>41</w:t>
      </w:r>
      <w:r w:rsidRPr="00571E58">
        <w:rPr>
          <w:rFonts w:ascii="Times New Roman" w:hAnsi="Times New Roman" w:cs="Times New Roman"/>
          <w:i/>
          <w:sz w:val="24"/>
          <w:szCs w:val="24"/>
        </w:rPr>
        <w:t xml:space="preserve"> mg etanol içerir. 120 mg/m</w:t>
      </w:r>
      <w:r w:rsidR="006332E3" w:rsidRPr="006332E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71E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1E58">
        <w:rPr>
          <w:rFonts w:ascii="Times New Roman" w:hAnsi="Times New Roman" w:cs="Times New Roman"/>
          <w:i/>
          <w:sz w:val="24"/>
          <w:szCs w:val="24"/>
        </w:rPr>
        <w:t>etoposid</w:t>
      </w:r>
      <w:proofErr w:type="spellEnd"/>
      <w:r w:rsidRPr="00571E58">
        <w:rPr>
          <w:rFonts w:ascii="Times New Roman" w:hAnsi="Times New Roman" w:cs="Times New Roman"/>
          <w:i/>
          <w:sz w:val="24"/>
          <w:szCs w:val="24"/>
        </w:rPr>
        <w:t xml:space="preserve"> dozunda, vücut yüzey alanı </w:t>
      </w:r>
      <w:proofErr w:type="gramStart"/>
      <w:r w:rsidRPr="00571E58">
        <w:rPr>
          <w:rFonts w:ascii="Times New Roman" w:hAnsi="Times New Roman" w:cs="Times New Roman"/>
          <w:i/>
          <w:sz w:val="24"/>
          <w:szCs w:val="24"/>
        </w:rPr>
        <w:t>1.6</w:t>
      </w:r>
      <w:proofErr w:type="gramEnd"/>
      <w:r w:rsidRPr="00571E58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6332E3" w:rsidRPr="006332E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71E58">
        <w:rPr>
          <w:rFonts w:ascii="Times New Roman" w:hAnsi="Times New Roman" w:cs="Times New Roman"/>
          <w:i/>
          <w:sz w:val="24"/>
          <w:szCs w:val="24"/>
        </w:rPr>
        <w:t xml:space="preserve"> olan bir hasta 2.</w:t>
      </w:r>
      <w:r w:rsidR="006332E3">
        <w:rPr>
          <w:rFonts w:ascii="Times New Roman" w:hAnsi="Times New Roman" w:cs="Times New Roman"/>
          <w:i/>
          <w:sz w:val="24"/>
          <w:szCs w:val="24"/>
        </w:rPr>
        <w:t>3</w:t>
      </w:r>
      <w:r w:rsidRPr="00571E58">
        <w:rPr>
          <w:rFonts w:ascii="Times New Roman" w:hAnsi="Times New Roman" w:cs="Times New Roman"/>
          <w:i/>
          <w:sz w:val="24"/>
          <w:szCs w:val="24"/>
        </w:rPr>
        <w:t xml:space="preserve"> g etanol alacaktır. Alkol bağımlılığı olanlar için zararlı olabilir. Hamile ve emziren kadınlar, çocuklar ve karaciğer hastalığı ya da epilepsi gibi yüksek risk grubundaki hastalar veya </w:t>
      </w:r>
      <w:proofErr w:type="spellStart"/>
      <w:r w:rsidRPr="00571E58">
        <w:rPr>
          <w:rFonts w:ascii="Times New Roman" w:hAnsi="Times New Roman" w:cs="Times New Roman"/>
          <w:i/>
          <w:sz w:val="24"/>
          <w:szCs w:val="24"/>
        </w:rPr>
        <w:t>disülfiram</w:t>
      </w:r>
      <w:proofErr w:type="spellEnd"/>
      <w:r w:rsidRPr="00571E58">
        <w:rPr>
          <w:rFonts w:ascii="Times New Roman" w:hAnsi="Times New Roman" w:cs="Times New Roman"/>
          <w:i/>
          <w:sz w:val="24"/>
          <w:szCs w:val="24"/>
        </w:rPr>
        <w:t xml:space="preserve"> alan hastalar için bu miktar dikkate alınmalıdır.</w:t>
      </w:r>
    </w:p>
    <w:p w:rsidR="00E6073E" w:rsidRPr="00571E58" w:rsidRDefault="00D345BE" w:rsidP="004B6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58">
        <w:rPr>
          <w:rFonts w:ascii="Times New Roman" w:hAnsi="Times New Roman" w:cs="Times New Roman"/>
          <w:sz w:val="24"/>
          <w:szCs w:val="24"/>
        </w:rPr>
        <w:t>Yardımcı maddeler i</w:t>
      </w:r>
      <w:r w:rsidR="00C42B23" w:rsidRPr="00571E58">
        <w:rPr>
          <w:rFonts w:ascii="Times New Roman" w:hAnsi="Times New Roman" w:cs="Times New Roman"/>
          <w:sz w:val="24"/>
          <w:szCs w:val="24"/>
        </w:rPr>
        <w:t>ç</w:t>
      </w:r>
      <w:r w:rsidRPr="00571E58">
        <w:rPr>
          <w:rFonts w:ascii="Times New Roman" w:hAnsi="Times New Roman" w:cs="Times New Roman"/>
          <w:sz w:val="24"/>
          <w:szCs w:val="24"/>
        </w:rPr>
        <w:t xml:space="preserve">in </w:t>
      </w:r>
      <w:r w:rsidR="00571E58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571E58">
        <w:rPr>
          <w:rFonts w:ascii="Times New Roman" w:hAnsi="Times New Roman" w:cs="Times New Roman"/>
          <w:sz w:val="24"/>
          <w:szCs w:val="24"/>
        </w:rPr>
        <w:t>6.1’e</w:t>
      </w:r>
      <w:proofErr w:type="gramEnd"/>
      <w:r w:rsidRPr="00571E58">
        <w:rPr>
          <w:rFonts w:ascii="Times New Roman" w:hAnsi="Times New Roman" w:cs="Times New Roman"/>
          <w:sz w:val="24"/>
          <w:szCs w:val="24"/>
        </w:rPr>
        <w:t xml:space="preserve"> bakınız</w:t>
      </w:r>
      <w:r w:rsidR="0009558D" w:rsidRPr="00571E58">
        <w:rPr>
          <w:rFonts w:ascii="Times New Roman" w:hAnsi="Times New Roman" w:cs="Times New Roman"/>
          <w:sz w:val="24"/>
          <w:szCs w:val="24"/>
        </w:rPr>
        <w:t>.</w:t>
      </w:r>
    </w:p>
    <w:p w:rsidR="007D51C4" w:rsidRPr="00F4082E" w:rsidRDefault="007D51C4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highlight w:val="yellow"/>
        </w:rPr>
      </w:pPr>
    </w:p>
    <w:p w:rsidR="004158F1" w:rsidRPr="00571E58" w:rsidRDefault="005F21BF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71E58">
        <w:rPr>
          <w:rFonts w:ascii="Times New Roman" w:eastAsia="TimesNewRoman,Bold" w:hAnsi="Times New Roman" w:cs="Times New Roman"/>
          <w:b/>
          <w:bCs/>
          <w:sz w:val="24"/>
          <w:szCs w:val="24"/>
        </w:rPr>
        <w:t>3.</w:t>
      </w:r>
      <w:r w:rsidR="004158F1" w:rsidRPr="00571E58">
        <w:rPr>
          <w:rFonts w:ascii="Times New Roman" w:eastAsia="TimesNewRoman,Bold" w:hAnsi="Times New Roman" w:cs="Times New Roman"/>
          <w:b/>
          <w:bCs/>
          <w:sz w:val="24"/>
          <w:szCs w:val="24"/>
        </w:rPr>
        <w:t>FARMASÖTİK FORM</w:t>
      </w:r>
    </w:p>
    <w:p w:rsidR="004158F1" w:rsidRPr="00C42B23" w:rsidRDefault="00DD1D7B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71E58">
        <w:rPr>
          <w:rFonts w:ascii="Times New Roman" w:eastAsia="TimesNewRoman" w:hAnsi="Times New Roman" w:cs="Times New Roman"/>
          <w:sz w:val="24"/>
          <w:szCs w:val="24"/>
        </w:rPr>
        <w:t xml:space="preserve">I.V. </w:t>
      </w:r>
      <w:proofErr w:type="spellStart"/>
      <w:r w:rsidR="005F57AD" w:rsidRPr="00571E58">
        <w:rPr>
          <w:rFonts w:ascii="Times New Roman" w:eastAsia="TimesNewRoman" w:hAnsi="Times New Roman" w:cs="Times New Roman"/>
          <w:sz w:val="24"/>
          <w:szCs w:val="24"/>
        </w:rPr>
        <w:t>İ</w:t>
      </w:r>
      <w:r w:rsidR="005F21BF" w:rsidRPr="00571E58">
        <w:rPr>
          <w:rFonts w:ascii="Times New Roman" w:eastAsia="TimesNewRoman" w:hAnsi="Times New Roman" w:cs="Times New Roman"/>
          <w:sz w:val="24"/>
          <w:szCs w:val="24"/>
        </w:rPr>
        <w:t>nfüzyon</w:t>
      </w:r>
      <w:proofErr w:type="spellEnd"/>
      <w:r w:rsidR="005F21BF" w:rsidRPr="00571E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F57AD" w:rsidRPr="00571E58">
        <w:rPr>
          <w:rFonts w:ascii="Times New Roman" w:eastAsia="TimesNewRoman" w:hAnsi="Times New Roman" w:cs="Times New Roman"/>
          <w:sz w:val="24"/>
          <w:szCs w:val="24"/>
        </w:rPr>
        <w:t xml:space="preserve">için </w:t>
      </w:r>
      <w:proofErr w:type="gramStart"/>
      <w:r w:rsidR="005F57AD" w:rsidRPr="00571E58">
        <w:rPr>
          <w:rFonts w:ascii="Times New Roman" w:eastAsia="TimesNewRoman" w:hAnsi="Times New Roman" w:cs="Times New Roman"/>
          <w:sz w:val="24"/>
          <w:szCs w:val="24"/>
        </w:rPr>
        <w:t>konsantre</w:t>
      </w:r>
      <w:proofErr w:type="gramEnd"/>
      <w:r w:rsidR="005F57AD" w:rsidRPr="00571E58">
        <w:rPr>
          <w:rFonts w:ascii="Times New Roman" w:eastAsia="TimesNewRoman" w:hAnsi="Times New Roman" w:cs="Times New Roman"/>
          <w:sz w:val="24"/>
          <w:szCs w:val="24"/>
        </w:rPr>
        <w:t xml:space="preserve"> çözelti</w:t>
      </w:r>
      <w:r w:rsidR="005F21BF" w:rsidRPr="00571E58">
        <w:rPr>
          <w:rFonts w:ascii="Times New Roman" w:eastAsia="TimesNewRoman" w:hAnsi="Times New Roman" w:cs="Times New Roman"/>
          <w:sz w:val="24"/>
          <w:szCs w:val="24"/>
        </w:rPr>
        <w:t xml:space="preserve"> içeren </w:t>
      </w:r>
      <w:proofErr w:type="spellStart"/>
      <w:r w:rsidR="005F21BF" w:rsidRPr="00571E58">
        <w:rPr>
          <w:rFonts w:ascii="Times New Roman" w:eastAsia="TimesNewRoman" w:hAnsi="Times New Roman" w:cs="Times New Roman"/>
          <w:sz w:val="24"/>
          <w:szCs w:val="24"/>
        </w:rPr>
        <w:t>flakon</w:t>
      </w:r>
      <w:proofErr w:type="spellEnd"/>
      <w:r w:rsidR="005F21BF" w:rsidRPr="00C42B2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D1D7B" w:rsidRPr="00C42B23" w:rsidRDefault="00DD1D7B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4158F1" w:rsidRPr="00C42B23" w:rsidRDefault="004158F1" w:rsidP="004B6D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/>
          <w:bCs/>
          <w:sz w:val="24"/>
          <w:szCs w:val="24"/>
        </w:rPr>
        <w:t>4.</w:t>
      </w:r>
      <w:r w:rsidR="00693C9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C42B23">
        <w:rPr>
          <w:rFonts w:ascii="Times New Roman" w:eastAsia="TimesNewRoman,Bold" w:hAnsi="Times New Roman" w:cs="Times New Roman"/>
          <w:b/>
          <w:bCs/>
          <w:sz w:val="24"/>
          <w:szCs w:val="24"/>
        </w:rPr>
        <w:t>KLİNİK ÖZELLİKLER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4.1.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Terapötik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endikasyonlar</w:t>
      </w:r>
      <w:proofErr w:type="spellEnd"/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yoldan kullanılan bir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antineoplastik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ajandır. Tek başına veya 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antineoplastik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ajanlarla birlikte kullanılabilir.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küçük hücreli akciğer kanserinde etkinliği kanıtlanmış 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kemoterapötik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ajanlarla kombine şekilde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seminomatöz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olmayan testis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karsinomu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tedavisinde uygun cerrahi,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kemoterapi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veya radyoterapi tedavisi almış hastalarda, etkinliği kanıtlanmış 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kemoterapötik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ajanlarla kombine şekilde kullanılabilir.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Ayrıca, küçük hücreli olmayan akciğer kanserinin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palyatif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tedavisinde,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Hodgkin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hastalığının yeniden indüksiyon tedavisinde,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Hodgkin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dışı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lenfoma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non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Hodgkin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lenfoma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) ve akut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myelositik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löseminin indüksiyon tedavisinde,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koriyon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karsinoman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ın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indüksiyon ve yeniden indüksiyon tedavisinde objektif yanıt alınabilineceği gösterilmiştir.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Pozoloji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 ve uygulama şekli</w:t>
      </w:r>
    </w:p>
    <w:p w:rsidR="007C54E4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Pozoloji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: 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Erişkinler: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Dozaj,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tek başına veya 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sitostatik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ajanlarla kombine verilip verilmediğine bağlıdır. Önerilen </w:t>
      </w: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dozu, birbirini takip eden beş gün boyunca IV olarak günlük 60-120 mg/m</w:t>
      </w:r>
      <w:r w:rsidRPr="00693C98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'dir.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Uygulama sıklığı ve süresi: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Çözelti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infüzyonla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minimum 30 dakika ila 2 saat arasında verilmelidir. Yüz kızarması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hızının çok fazla olduğunun belirtisidir.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Kemoterapi kürleri herhangi bir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toksisitenin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yeterince iyileşmesinden sonra 3-4 haftalık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intervallerle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tekrarlanır.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neden olduğundan lökosit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trombosit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sayılarının normale dönmesine izin vermek için tedavi üç haftalık aralıklardan daha sık tekrarlanmamalıdır. </w:t>
      </w: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infüzyonu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tedavi kürü yinelenmeden önce,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belirtileri açısından kan tablosu incelenmeli ve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tatminkar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bulunursa tedavi verilmelidir.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Uygulama şekli: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sadece sağlık personeli tarafından kanser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kemoterapötik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ajanların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kullanımında deneyimli doktorların denetiminde uygulanmalıdır.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 xml:space="preserve"> yalnızca yavaş </w:t>
      </w:r>
      <w:proofErr w:type="spellStart"/>
      <w:r w:rsidR="007C54E4">
        <w:rPr>
          <w:rFonts w:ascii="Times New Roman" w:eastAsia="TimesNewRoman" w:hAnsi="Times New Roman" w:cs="Times New Roman"/>
          <w:sz w:val="24"/>
          <w:szCs w:val="24"/>
        </w:rPr>
        <w:t>intravenöz</w:t>
      </w:r>
      <w:proofErr w:type="spellEnd"/>
      <w:r w:rsidR="007C54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C54E4">
        <w:rPr>
          <w:rFonts w:ascii="Times New Roman" w:eastAsia="TimesNewRoman" w:hAnsi="Times New Roman" w:cs="Times New Roman"/>
          <w:sz w:val="24"/>
          <w:szCs w:val="24"/>
        </w:rPr>
        <w:t>infü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zyonla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kullanılır.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vücut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boşlukları (plevra, periton ve diğer) içine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enjeksiyon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şeklinde uygulanmamalıdır.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Yalnızca yeni hazırlanmış, renksiz ve berrak çözeltileri kullanınız.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Kullanım talimatları ve uygulama ile ilgili detaylı bilgi için bölüm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6.6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>'.'ya bakınız.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Özel </w:t>
      </w:r>
      <w:proofErr w:type="gram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popülasyonlara</w:t>
      </w:r>
      <w:proofErr w:type="gram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 ilişkin ek bilgiler: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Böbrek yetmezliği: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Böbrek yetmezliği olan, ancak karaciğer fonksiyonları normal hastalarda,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dozu azaltılmalı ve hematolojik alt değerleri ve böbrek fonksiyonları izlenmelidir.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Kreatinin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klerensine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göre önerilen doz rejimi aşağıdaki gibidir: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1"/>
        <w:gridCol w:w="5654"/>
      </w:tblGrid>
      <w:tr w:rsidR="00693C98" w:rsidRPr="00693C98" w:rsidTr="00693C98">
        <w:trPr>
          <w:trHeight w:hRule="exact" w:val="278"/>
        </w:trPr>
        <w:tc>
          <w:tcPr>
            <w:tcW w:w="2971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spellStart"/>
            <w:r w:rsidRPr="00693C9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Kreatinin</w:t>
            </w:r>
            <w:proofErr w:type="spellEnd"/>
            <w:r w:rsidRPr="00693C9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C9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klerensi</w:t>
            </w:r>
            <w:proofErr w:type="spellEnd"/>
            <w:r w:rsidRPr="00693C9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(ml/</w:t>
            </w:r>
            <w:proofErr w:type="spellStart"/>
            <w:r w:rsidRPr="00693C9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dak</w:t>
            </w:r>
            <w:proofErr w:type="spellEnd"/>
            <w:r w:rsidRPr="00693C9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54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93C9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Önerilen günlük doz (standart dozun yüzdesi)</w:t>
            </w:r>
          </w:p>
        </w:tc>
      </w:tr>
      <w:tr w:rsidR="00693C98" w:rsidRPr="00693C98" w:rsidTr="00693C98">
        <w:trPr>
          <w:trHeight w:hRule="exact" w:val="274"/>
        </w:trPr>
        <w:tc>
          <w:tcPr>
            <w:tcW w:w="2971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5654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>100</w:t>
            </w:r>
          </w:p>
        </w:tc>
      </w:tr>
      <w:tr w:rsidR="00693C98" w:rsidRPr="00693C98" w:rsidTr="00693C98">
        <w:trPr>
          <w:trHeight w:hRule="exact" w:val="269"/>
        </w:trPr>
        <w:tc>
          <w:tcPr>
            <w:tcW w:w="2971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5654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>75</w:t>
            </w:r>
          </w:p>
        </w:tc>
      </w:tr>
      <w:tr w:rsidR="00693C98" w:rsidRPr="00693C98" w:rsidTr="00693C98">
        <w:trPr>
          <w:trHeight w:hRule="exact" w:val="283"/>
        </w:trPr>
        <w:tc>
          <w:tcPr>
            <w:tcW w:w="2971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5654" w:type="dxa"/>
            <w:shd w:val="clear" w:color="auto" w:fill="FFFFFF"/>
          </w:tcPr>
          <w:p w:rsidR="00693C98" w:rsidRPr="00693C98" w:rsidRDefault="00693C98" w:rsidP="00693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>Kontrendikedir</w:t>
            </w:r>
            <w:proofErr w:type="spellEnd"/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>Kontrendikasyonlar</w:t>
            </w:r>
            <w:proofErr w:type="spellEnd"/>
            <w:r w:rsidRPr="00693C9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bölümüne bakınız).</w:t>
            </w:r>
          </w:p>
        </w:tc>
      </w:tr>
    </w:tbl>
    <w:p w:rsidR="00FF2FE9" w:rsidRDefault="00FF2FE9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Karaciğer yetmezliği: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Karaciğer yetmezliği olan hastalarda, hastalığın ve karaciğer yetmezliğinin şiddetine göre dikkatle doz ayarlaması yapılarak kullanılmalıdır.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Pediyatrik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gram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popülasyon</w:t>
      </w:r>
      <w:proofErr w:type="gram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Çocuklarda etkinlik ve güvenliliği kanıtlanmamıştır.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Geriyatrik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gram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popülasyon</w:t>
      </w:r>
      <w:proofErr w:type="gram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lastRenderedPageBreak/>
        <w:t>Doz ayarlaması gerekli değildir.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4.3.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Kontrendikasyonlar</w:t>
      </w:r>
      <w:proofErr w:type="spellEnd"/>
    </w:p>
    <w:p w:rsidR="00693C98" w:rsidRPr="00693C98" w:rsidRDefault="00693C98" w:rsidP="00693C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Aktif bileşen veya katkı maddelerinden herhangi birine aşırı duyarlılığı olan hastalar</w:t>
      </w:r>
    </w:p>
    <w:p w:rsidR="00693C98" w:rsidRPr="00693C98" w:rsidRDefault="00693C98" w:rsidP="00693C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Ağır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hepatik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yetmezliği olan hastalar</w:t>
      </w:r>
    </w:p>
    <w:p w:rsidR="00693C98" w:rsidRPr="00693C98" w:rsidRDefault="00693C98" w:rsidP="00693C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Ağır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renal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yetmezliği olan ha</w:t>
      </w:r>
      <w:r>
        <w:rPr>
          <w:rFonts w:ascii="Times New Roman" w:eastAsia="TimesNewRoman" w:hAnsi="Times New Roman" w:cs="Times New Roman"/>
          <w:sz w:val="24"/>
          <w:szCs w:val="24"/>
        </w:rPr>
        <w:t>stalar (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kreatinin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&lt;15 ml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/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dak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693C98" w:rsidRPr="00693C98" w:rsidRDefault="00693C98" w:rsidP="00693C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Ağır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miyelosupresyonu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olan hastalar (lökosit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≤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4000 /mm</w:t>
      </w:r>
      <w:r w:rsidRPr="00693C98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trombosit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≤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1000 /mm</w:t>
      </w:r>
      <w:r w:rsidRPr="00693C98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693C98" w:rsidRPr="00693C98" w:rsidRDefault="00693C98" w:rsidP="00693C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Süt veren anneler</w:t>
      </w:r>
    </w:p>
    <w:p w:rsidR="00693C98" w:rsidRPr="00693C98" w:rsidRDefault="00693C98" w:rsidP="00693C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Hamilelik dönemi (</w:t>
      </w:r>
      <w:proofErr w:type="gramStart"/>
      <w:r w:rsidRPr="007C54E4">
        <w:rPr>
          <w:rFonts w:ascii="Times New Roman" w:eastAsia="TimesNewRoman" w:hAnsi="Times New Roman" w:cs="Times New Roman"/>
          <w:i/>
          <w:sz w:val="24"/>
          <w:szCs w:val="24"/>
        </w:rPr>
        <w:t>4.6</w:t>
      </w:r>
      <w:proofErr w:type="gramEnd"/>
      <w:r w:rsidRPr="007C54E4">
        <w:rPr>
          <w:rFonts w:ascii="Times New Roman" w:eastAsia="TimesNewRoman" w:hAnsi="Times New Roman" w:cs="Times New Roman"/>
          <w:i/>
          <w:sz w:val="24"/>
          <w:szCs w:val="24"/>
        </w:rPr>
        <w:t xml:space="preserve">. Gebelik ve </w:t>
      </w:r>
      <w:proofErr w:type="spellStart"/>
      <w:r w:rsidRPr="007C54E4">
        <w:rPr>
          <w:rFonts w:ascii="Times New Roman" w:eastAsia="TimesNewRoman" w:hAnsi="Times New Roman" w:cs="Times New Roman"/>
          <w:i/>
          <w:sz w:val="24"/>
          <w:szCs w:val="24"/>
        </w:rPr>
        <w:t>laktasyon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bölümüne bakınız.)</w:t>
      </w:r>
    </w:p>
    <w:p w:rsidR="00693C98" w:rsidRDefault="00693C98" w:rsidP="00693C98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İntratekal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kullanım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Özel kullanım uyarıları ve önlemleri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sadece sağlık personeli tarafından kanser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kemoterapötik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ajanlarının kullanımında deneyimli doktorların denetiminde uygulanmalıdır.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Hızlı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infüzyonun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olası bir hipotansiyon reaksiyonu ortaya çıkarması nedeniyle, </w:t>
      </w: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 xml:space="preserve"> yavaş </w:t>
      </w:r>
      <w:proofErr w:type="spellStart"/>
      <w:r w:rsidR="007C54E4">
        <w:rPr>
          <w:rFonts w:ascii="Times New Roman" w:eastAsia="TimesNewRoman" w:hAnsi="Times New Roman" w:cs="Times New Roman"/>
          <w:sz w:val="24"/>
          <w:szCs w:val="24"/>
        </w:rPr>
        <w:t>intravenöz</w:t>
      </w:r>
      <w:proofErr w:type="spellEnd"/>
      <w:r w:rsidR="007C54E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C54E4">
        <w:rPr>
          <w:rFonts w:ascii="Times New Roman" w:eastAsia="TimesNewRoman" w:hAnsi="Times New Roman" w:cs="Times New Roman"/>
          <w:sz w:val="24"/>
          <w:szCs w:val="24"/>
        </w:rPr>
        <w:t>infü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zyonla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verilmelidir.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süresi 30 dakika ila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2 saat arasındadır. Damar dışına kaçması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ülserasyonlara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nekrozlara neden olabilir. Yüz kızarması çok yüksek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hızının bir belirtisidir.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Kızarma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flush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), titreme, ateş, taşikardi,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bronkospazm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dispne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hipotansiyonla seyreden olası bir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anaflaktik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 ortaya çıkabileceğinden, dikkatli olunmalıdır. Önerilenden daha yüksek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konsantrasyonlan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alan çocuklarda oldukça sık olarak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anaflaksi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benzeri reaksiyonlar bildirilmiştir. Bu durumlarda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derhal durdurulmalıdır, tedavisi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semptomatiktir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tedavi edilen hastalar,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yönünden hem tedavi sırasında hem de tedaviden sonra sık olarak gözlenmelidir. Doz kısıtlayıcı kemik iliği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supresyonu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tedavisiyle ilişkili en önemli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toksisitedir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tedavisine başlamadan önce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radyoterapi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ve/veya kemoterapi yapılmışsa, kemik iliğinin düzelebilmesini sağlamak için yeterli zaman aralığı bırakılmalıdır. Lökosit sayısı 2.000/mm</w:t>
      </w:r>
      <w:r w:rsidRPr="007C54E4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'ün veya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trombosit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sayısı 50.000/mm</w:t>
      </w:r>
      <w:r w:rsidRPr="007C54E4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'ün altına düşerse, dolaşımdaki kan elemanları uygun bir seviyeye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trombositler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100.000/mm</w:t>
      </w:r>
      <w:r w:rsidR="007C54E4" w:rsidRPr="007C54E4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'ün üzeri, lökositler 4.000/ mm</w:t>
      </w:r>
      <w:r w:rsidR="007C54E4" w:rsidRPr="007C54E4">
        <w:rPr>
          <w:rFonts w:ascii="Times New Roman" w:eastAsia="TimesNewRoman" w:hAnsi="Times New Roman" w:cs="Times New Roman"/>
          <w:sz w:val="24"/>
          <w:szCs w:val="24"/>
          <w:vertAlign w:val="superscript"/>
        </w:rPr>
        <w:t>3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'ün üzeri) gelene dek tedavi durdurulur.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tek başına veya kombine tedavi şeklinde kullanılmasına bağlı olarak, kan tablosu normalde 21 gün içinde düzelir.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Periferik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kan sayımı ve karaciğer fonksiyonu izlenmelidir (İstenmeyen etkiler bölümüne bakınız.).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Lösemili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lenfomalı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hastalarda, yalnızca sağlanan yarar riskten fazla ise reçete edilmelidir.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Hastalarda görülen bulantı kusmanın kontrolü için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antiemetikler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yararlıdır.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tedavisine başlamadan önce bakteriyel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viral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kontrol altına alınmalıdır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poliovirüs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aşısı ile yeni aşılanmış hastalarla yakın temastan kaçınılmalıdır.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radyoterapi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kemoterapi alan hastalarda ve kardiyak aritmisi olan, daha önce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miyokard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enfarktüsü geçirmiş, karaciğer fonksiyon bozukluğu, böbrek fonksiyon bozukluğu,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periferik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nöropati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idrar yapma güçlüğü, epilepsi veya beyin hasarı veya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stomatit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olan hastalarda dikkatle uygulanmalıdır.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genotoksik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etkiler gösterebilir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693C98">
        <w:rPr>
          <w:rFonts w:ascii="Times New Roman" w:eastAsia="TimesNewRoman" w:hAnsi="Times New Roman" w:cs="Times New Roman"/>
          <w:i/>
          <w:sz w:val="24"/>
          <w:szCs w:val="24"/>
        </w:rPr>
        <w:t>Klinik öncesi güvenlilik verileri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bölümüne bakınız).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antineoplastik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ilaçları ile beraber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tedavi edilen hastalarda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prelösemik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fazla beraber de görülebilen akut lösemi oluşumu seyrek olarak rapor edilmiştir.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Bu tıbbi ürün her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flakonda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C54E4" w:rsidRPr="007C54E4">
        <w:rPr>
          <w:rFonts w:ascii="Times New Roman" w:eastAsia="TimesNewRoman" w:hAnsi="Times New Roman" w:cs="Times New Roman"/>
          <w:sz w:val="24"/>
          <w:szCs w:val="24"/>
        </w:rPr>
        <w:t>3</w:t>
      </w:r>
      <w:r w:rsidRPr="007C54E4">
        <w:rPr>
          <w:rFonts w:ascii="Times New Roman" w:eastAsia="TimesNewRoman" w:hAnsi="Times New Roman" w:cs="Times New Roman"/>
          <w:sz w:val="24"/>
          <w:szCs w:val="24"/>
        </w:rPr>
        <w:t xml:space="preserve">0 mg </w:t>
      </w:r>
      <w:proofErr w:type="spellStart"/>
      <w:r w:rsidRPr="007C54E4">
        <w:rPr>
          <w:rFonts w:ascii="Times New Roman" w:eastAsia="TimesNewRoman" w:hAnsi="Times New Roman" w:cs="Times New Roman"/>
          <w:sz w:val="24"/>
          <w:szCs w:val="24"/>
        </w:rPr>
        <w:t>benzil</w:t>
      </w:r>
      <w:proofErr w:type="spellEnd"/>
      <w:r w:rsidRPr="007C54E4">
        <w:rPr>
          <w:rFonts w:ascii="Times New Roman" w:eastAsia="TimesNewRoman" w:hAnsi="Times New Roman" w:cs="Times New Roman"/>
          <w:sz w:val="24"/>
          <w:szCs w:val="24"/>
        </w:rPr>
        <w:t xml:space="preserve"> alkol içermektedir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. Prematüre bebekler ve yeni doğanlara uygulanmaması gerekir. Bebeklerde ve 3 yaşma kadar olan çocuklarda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reaksiyonlara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anafilaktoid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reaksiyonlara sebebiyet verebilir.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4.5. Diğer tıbbi ürünler ile etkileşimler ve diğer etkileşim şekilleri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Radyoterapi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neden olabilecek ilaçların uygulanması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neden olduğu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miyelosupresyonu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artırabilir.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diğer ilaçların (örn.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siklosporin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sitotoksik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etkilerini artırabilir. Yüksek doz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siklosporin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tedavisinin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maruziyeti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artırdığı,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klerensini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azalttığı bulunmuştur.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Oral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antikoagülanların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etkileri artabilir.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Fenilbutazon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sodyum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salisilat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şahsilik asit,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plazma proteinlerine bağlanmasını etkileyebilir.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Antrasiklinler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arasında çapraz direnç deneysel olarak gösterilmiştir.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Fosfataz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aktivitesini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inhibe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ettiği bilinen ilaçlarla (örn.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Levamizol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hidroklorür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birlikte kullanımı ile ilgili herhangi bir veri yoktur.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Alkol ile birlikte kullanmayınız.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i/>
          <w:sz w:val="24"/>
          <w:szCs w:val="24"/>
        </w:rPr>
        <w:t>Potansiyel olarak yararlı etkileşimler: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genellikle 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sitotoksik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ilaçlarla birlikte kullanılır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sitotoksik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 yönünden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sinerjistik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 gösterdikleri varsayılır, in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vitro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ortamda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metotreksat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sisplatin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gibi bazı ilaçlar ile böyle bir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sinerji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gösterilmiştir.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Hayvan modellerinde aşağıdaki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kemoterapötik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ajanlarla birlikte tümör hücreleri üzerine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sinerjistik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 gösterilmiştir: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Sisplatin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karboplatin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mitomisin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C,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siklofosfamid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BCNU,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vinkristin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daktinomisin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sitozin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arabinozid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4.6.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laktasyon</w:t>
      </w:r>
      <w:proofErr w:type="spellEnd"/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Gebelik kategorisi: D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Genel tavsiye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hamile ve emziren annelere uygulanmamalıdır.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Çocuk doğurma potansiyeli bulunan kadınlar/ Doğum kontrolü (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Kontrasepsiyon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)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Çocuk doğurma potansiyeli bulunan kadınlara hamile kalmaktan kaçınmaları önerilmelidir. Çocuk doğurma potansiyeli bulunan kadınlar ve erkekler tedavi süresi boyunca ve tedaviden sonraki 6 ay içinde etkin bir doğum kontrol yöntemi kullanmalıdır. Eğer bir hasta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tedavisini takiben çocuk sahibi olmayı planlıyorsa mutlaka genetik yönden bir uzmana danışması önerilir.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Gebelik dönemi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farelerde ve sıçanlarda, klinik olarak uygulanan dozlara eşdeğer dozlarda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teratojeniktir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. Hamile kadınlarda kullanımı sırasında güvenliliği ortaya koyulmamıştır,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gebelikte kullanımı ile ilgili yeterli ve kontrollü çalışmalar yoktur.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gerekli olmadıkça gebelik döneminde kullanılmamalıdır. Gebe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kadınlara verilirken dikkatli olunmalıdır (</w:t>
      </w:r>
      <w:proofErr w:type="gramStart"/>
      <w:r w:rsidRPr="007C54E4">
        <w:rPr>
          <w:rFonts w:ascii="Times New Roman" w:eastAsia="TimesNewRoman" w:hAnsi="Times New Roman" w:cs="Times New Roman"/>
          <w:i/>
          <w:sz w:val="24"/>
          <w:szCs w:val="24"/>
        </w:rPr>
        <w:t>5.3</w:t>
      </w:r>
      <w:proofErr w:type="gramEnd"/>
      <w:r w:rsidRPr="007C54E4">
        <w:rPr>
          <w:rFonts w:ascii="Times New Roman" w:eastAsia="TimesNewRoman" w:hAnsi="Times New Roman" w:cs="Times New Roman"/>
          <w:i/>
          <w:sz w:val="24"/>
          <w:szCs w:val="24"/>
        </w:rPr>
        <w:t>. Klinik öncesi güvenlilik verileri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bölümüne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bakınız).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Laktasyon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 dönemi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emzirme döneminde kullanılmamalıdır.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Üreme yeteneği (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fertilite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)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fertilite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d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azalmaya neden olabilir. Geri dönüşü olmayan kısırlık olasılığı vardır.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4.7. Araç ve makine kullanımı üzerindeki etkiler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Yorgunluk ve geçici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kortikal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körlük gibi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advers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reaksiyonlar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tedavisinden hemen sonra hastala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rı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n otomobil ve makine kullanmalarının uygun olmayacağını gösterir.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ETOPEX’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içindeki etanol nedeniyle hastanın araç ve makine kullanma yeteneği zarar görebilir.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4.8.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İstenmeyen etkiler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İstenmeyen etkiler, organ sınıflarına göre; çok yaygın (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≥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1/10), yaygın (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≥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1/100 ile &lt;1/10), yaygın olmayan (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≥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1/1000 ila &lt;1/100), seyrek (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≥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1/10000 ila &lt;1/1000) ve çok seyrek (&lt;1/10000) olarak sınıflandı</w:t>
      </w:r>
      <w:r>
        <w:rPr>
          <w:rFonts w:ascii="Times New Roman" w:eastAsia="TimesNewRoman" w:hAnsi="Times New Roman" w:cs="Times New Roman"/>
          <w:sz w:val="24"/>
          <w:szCs w:val="24"/>
        </w:rPr>
        <w:t>rı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lmıştır.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enfestasyonlar</w:t>
      </w:r>
      <w:proofErr w:type="spellEnd"/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 xml:space="preserve">: 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Ateş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sepsis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bildirilmiştir.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 xml:space="preserve">Kan ve lenf sistemi hastalıkları: 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b/>
          <w:sz w:val="24"/>
          <w:szCs w:val="24"/>
        </w:rPr>
        <w:t>Çok yayg</w:t>
      </w:r>
      <w:r>
        <w:rPr>
          <w:rFonts w:ascii="Times New Roman" w:eastAsia="TimesNewRoman" w:hAnsi="Times New Roman" w:cs="Times New Roman"/>
          <w:b/>
          <w:sz w:val="24"/>
          <w:szCs w:val="24"/>
        </w:rPr>
        <w:t>ın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 kısıtlayıcı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toksisitesi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özellikle de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lökopeni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trombositopenidir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. Hastaların %60-91'inde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lökopeni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%28'inde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trombositopeni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görülmüştür. En düşük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lokosit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düzeyleri tedaviden yaklaşık 21 gün sonra,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trombositlerin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en düşük seviyesi 11-17 gün sonra görülür. Yaklaşık %40 hastada hemoglobin düzeylerinde azalma olur. Anemi nadiren görülür.</w:t>
      </w:r>
    </w:p>
    <w:p w:rsidR="00693C98" w:rsidRPr="00426E3E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26E3E">
        <w:rPr>
          <w:rFonts w:ascii="Times New Roman" w:eastAsia="TimesNewRoman" w:hAnsi="Times New Roman" w:cs="Times New Roman"/>
          <w:b/>
          <w:sz w:val="24"/>
          <w:szCs w:val="24"/>
        </w:rPr>
        <w:t>Yaygın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Ağır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miyelosupresyonu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takiben kanama ve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93C98" w:rsidRPr="00426E3E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26E3E">
        <w:rPr>
          <w:rFonts w:ascii="Times New Roman" w:eastAsia="TimesNewRoman" w:hAnsi="Times New Roman" w:cs="Times New Roman"/>
          <w:b/>
          <w:sz w:val="24"/>
          <w:szCs w:val="24"/>
        </w:rPr>
        <w:t>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antineoplastik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ilaçlarla birlikte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tedavisinde akut lösemi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prelösemik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faz görülebilir veya görülmeyebilir) oluşumu bildirilmiştir.</w:t>
      </w:r>
    </w:p>
    <w:p w:rsidR="00426E3E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26E3E">
        <w:rPr>
          <w:rFonts w:ascii="Times New Roman" w:eastAsia="TimesNewRoman" w:hAnsi="Times New Roman" w:cs="Times New Roman"/>
          <w:b/>
          <w:sz w:val="24"/>
          <w:szCs w:val="24"/>
        </w:rPr>
        <w:t xml:space="preserve">Bağışıklık sistemi hastalıkları: </w:t>
      </w:r>
    </w:p>
    <w:p w:rsidR="00693C98" w:rsidRPr="00426E3E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26E3E">
        <w:rPr>
          <w:rFonts w:ascii="Times New Roman" w:eastAsia="TimesNewRoman" w:hAnsi="Times New Roman" w:cs="Times New Roman"/>
          <w:b/>
          <w:sz w:val="24"/>
          <w:szCs w:val="24"/>
        </w:rPr>
        <w:t>Yaygın olmayan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kullanımından sonra üşüme, titreme, kızarma, ateş, taşikardi,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dispne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bronkospazm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hipotansiyon ile karakterize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anafilaktik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reaksiyonlar bildirilmiştir. Önerilenden daha yüksek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konsantrasyonlarda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alan çocuklarda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anafilaktik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 sıklığı daha yüksektir. Ancak,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konsantrasyonunun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(veya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hızının)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anafilaktik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 gelişiminde oynadığı rol kesin değildir. Bu reaksiyonlar genelde ilacın kesilmesi ve gerektiğinde adrenalin gibi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vazopresör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kortikosteroidler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antihistaminikler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veya plazma hacmi genişleticiler ile tedavi edilir. Bununla birlikte bu reaksiyonlar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fatal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olabilir.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ETOPEX</w:t>
      </w:r>
      <w:r w:rsidR="007C54E4">
        <w:rPr>
          <w:rFonts w:ascii="Times New Roman" w:eastAsia="TimesNewRoman" w:hAnsi="Times New Roman" w:cs="Times New Roman"/>
          <w:sz w:val="24"/>
          <w:szCs w:val="24"/>
        </w:rPr>
        <w:t>’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içinde bulunan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benzil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alkol nedeniyle aşırı duyarlılık reaksiyonu gelişebilir. Hipertansiyon, kızarma, yüz/dilde şişme, öksürük, terleme,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siyanoz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boğazda sıkışma hissi,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laringospazm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bilinç kaybı, nadiren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apne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bildirilmiştir.</w:t>
      </w:r>
    </w:p>
    <w:p w:rsidR="00693C98" w:rsidRPr="00426E3E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26E3E">
        <w:rPr>
          <w:rFonts w:ascii="Times New Roman" w:eastAsia="TimesNewRoman" w:hAnsi="Times New Roman" w:cs="Times New Roman"/>
          <w:b/>
          <w:sz w:val="24"/>
          <w:szCs w:val="24"/>
        </w:rPr>
        <w:t>Çok 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Literatürde iki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Stevens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Johnson olgusu tanımlanmıştır; ancak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etoposidle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bağlantısı ispatlanmamıştır. Bir olguda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fatal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epidermal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nekroz görülmüştür.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Metabolizma ve beslenme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Hiperürisemi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bildirilmiştir.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Sinir sistemi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Yaygın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Periferik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nöropati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olguların %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0.7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>-2'sinde görülmüştür.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Yaygın olmayan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lastRenderedPageBreak/>
        <w:t>Konvülsiyon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Santral sinir sisteminin etkilenmesi sonucunda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hiperkinezi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, uykuya eğilim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somnolans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), sersemlik, yorgunluk, tat bozukluğu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aftertaste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) ve geçici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kortikal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körlük görülebilir.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Kardiyak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Çok 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kullanımından sonra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miyokard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enfarktüsü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ritm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bozuklukları bildirilmiştir,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bir bağlantı kanıtlanmamıştır.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Vasküler</w:t>
      </w:r>
      <w:proofErr w:type="spellEnd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Yaygın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Hızlı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infüzyondan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sonra hipotansiyon görülebilir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hızının azaltılması ile düzelir.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Yaygın olmayan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Hipertansiyon ve kızarma (ateş basması) da bildirilmiştir.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İnfüzyonun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kesilmesinden sonra birkaç saat içinde kan basıncı normale döner. Flebit görülebilir.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Solunum, göğüs bozuklukları ve </w:t>
      </w:r>
      <w:proofErr w:type="spellStart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mediastinal</w:t>
      </w:r>
      <w:proofErr w:type="spellEnd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Yaygın olmayan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tedavisinin kesilmesinden sonra, kendiliğinden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spontan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solumaya dönen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apne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bildirilmiştir.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Bronkospazmla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ilişkili olarak ani,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fatal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reaksiyonlar rapor edilmiştir. Nadiren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pnömoni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görülmüştür. Öksürük,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laringospazm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siyanoz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interstisyel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pnömoni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/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pulmoner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fibroz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görülebilir.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Gastrointestinal</w:t>
      </w:r>
      <w:proofErr w:type="spellEnd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Çok yayg</w:t>
      </w:r>
      <w:r w:rsidR="004727C5">
        <w:rPr>
          <w:rFonts w:ascii="Times New Roman" w:eastAsia="TimesNewRoman" w:hAnsi="Times New Roman" w:cs="Times New Roman"/>
          <w:b/>
          <w:sz w:val="24"/>
          <w:szCs w:val="24"/>
        </w:rPr>
        <w:t>ın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Bulantı ve kusma hastaların yaklaşık %30-40'</w:t>
      </w:r>
      <w:r w:rsidR="00482EF5">
        <w:rPr>
          <w:rFonts w:ascii="Times New Roman" w:eastAsia="TimesNewRoman" w:hAnsi="Times New Roman" w:cs="Times New Roman"/>
          <w:sz w:val="24"/>
          <w:szCs w:val="24"/>
        </w:rPr>
        <w:t>ın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da ortaya çıkar. Bu yan etkilerin kontrolünde anti-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emetikler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yararlı olmaktadır.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Ka</w:t>
      </w:r>
      <w:r w:rsidR="004727C5">
        <w:rPr>
          <w:rFonts w:ascii="Times New Roman" w:eastAsia="TimesNewRoman" w:hAnsi="Times New Roman" w:cs="Times New Roman"/>
          <w:sz w:val="24"/>
          <w:szCs w:val="24"/>
        </w:rPr>
        <w:t>rı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n ağrısı, ishal, kabızlık, iştahsızlık,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özefajit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stomatit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(oral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mukozit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) oluşabilir.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Disfaji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bildirilmiştir. Yüksek dozlarda, oral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mukozit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 sınırlayıcı olabilir.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proofErr w:type="spellStart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Hepato</w:t>
      </w:r>
      <w:proofErr w:type="spellEnd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-</w:t>
      </w:r>
      <w:proofErr w:type="spellStart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biliyer</w:t>
      </w:r>
      <w:proofErr w:type="spellEnd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Yaygın olmayan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karaciğer ve böbreklerde yüksek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konsantrasyonlara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ulaştığı gösterilmiştir ve bu nedenle bu organlarda fonksiyon bozukluğu olursa birikme olasılığı vardır.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yüksek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dozlanndan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sonra karaciğer enzimlerinde artma bildirilmiştir.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Deri ve deri altı doku hastalıkları: 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Çok yaygın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Hastaların yaklaşık %66's</w:t>
      </w:r>
      <w:r w:rsidR="00482EF5">
        <w:rPr>
          <w:rFonts w:ascii="Times New Roman" w:eastAsia="TimesNewRoman" w:hAnsi="Times New Roman" w:cs="Times New Roman"/>
          <w:sz w:val="24"/>
          <w:szCs w:val="24"/>
        </w:rPr>
        <w:t>ın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da ve bazen tam kelliğe kadar gidebilen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geridönüşlü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alopesi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görülür.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Yaygın olmayan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Yüzde ve dilde ödem, terleme.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uygulamasından sonra döküntü, ürtiker,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pigmentasyon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kaşıntı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piruritus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) olabilir.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Çok seyrek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Tek bir olguda radyasyonla ortaya çıkana benzer dermatit bildirilmiştir.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Böbrek ve idrar hastalıkları: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böbreklerde yüksek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konsantrasyonlara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ulaştığı gösterilmiştir ve bu nedenle fonksiyon bozukluğu halinde birikme olasılığı vardır.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Üreme sistemi ve meme hastalıkları: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Amenore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anovulatuvar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sikluslar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fertilitede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azalma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hipomenore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4.9. Doz aşımı ve tedavisi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Doz aşımı: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yoldan toplam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2.4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>-3.5 g/m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/gün dozda 3 günden fazla uygulama ağır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mukozit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miyelotoksisite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sonuçlanır. Önerilenden yüksek dozda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alan hastalarda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metabolik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asidoz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ağır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hepatik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toksisite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bildirilmiştir.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Tedavisi: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 aşımına karşı denenen antidotların etkinliği belirlenmemiştir.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Semptomatik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destek tedavi yapılmalıdır.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Enfeksiyon riski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nötropeninin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ağırlığı,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lökopeninin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en üst noktasında iken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hematopoietik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büyüme faktörü uygulanarak en aza indirilebilir.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Destekleyici tedavi aşağıdakileri içerir: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Bulantı, kusma: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antiemetikler</w:t>
      </w:r>
      <w:proofErr w:type="spellEnd"/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Alerjik reaksiyonlar</w:t>
      </w:r>
      <w:r w:rsidR="004727C5">
        <w:rPr>
          <w:rFonts w:ascii="Times New Roman" w:eastAsia="TimesNewRoman" w:hAnsi="Times New Roman" w:cs="Times New Roman"/>
          <w:i/>
          <w:sz w:val="24"/>
          <w:szCs w:val="24"/>
        </w:rPr>
        <w:t>: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tedavisinin kesilmesi,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kortikosteroidler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sempatomimetikler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antihistaminikler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, plazma genişleticiler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Bronkospazm</w:t>
      </w:r>
      <w:proofErr w:type="spellEnd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: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Aminofilin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kortikosteroidler</w:t>
      </w:r>
      <w:proofErr w:type="spellEnd"/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Hipotansiyon: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tedavisinin kesilmesi, sıvı ve plazma genişleticiler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Hiperürisemi</w:t>
      </w:r>
      <w:proofErr w:type="spellEnd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: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Allopurinol</w:t>
      </w:r>
      <w:proofErr w:type="spellEnd"/>
    </w:p>
    <w:p w:rsidR="004727C5" w:rsidRPr="00693C98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5. </w:t>
      </w:r>
      <w:r w:rsidR="00693C98" w:rsidRPr="004727C5">
        <w:rPr>
          <w:rFonts w:ascii="Times New Roman" w:eastAsia="TimesNewRoman" w:hAnsi="Times New Roman" w:cs="Times New Roman"/>
          <w:b/>
          <w:sz w:val="24"/>
          <w:szCs w:val="24"/>
        </w:rPr>
        <w:t>FARMAKOLOJİK ÖZELLİKLER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5.1.</w:t>
      </w:r>
      <w:r w:rsid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Farmakodinamik özellikler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Farmakoterapötik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grup: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antineoplastik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ajanlar/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podofilotoksin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türevleri. ATC kodu: L01CB01.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yarı sentetik,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lipofilik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podofilotoksin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türevidir.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antineoplastik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sitotoksik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ajan olarak etkimektedir.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Topoizomeraz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II (DNA açıcı enzim) enzimini etkiler ve böylece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topoizomeraz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etkisinin terminal fazında DNA sentezini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inhibe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eder. Bu da tek ve çift DNA zincirinin kırılması ile sonuçlanır. Etkinliği, serbest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radikalllerin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hücre içi bağlanması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topoizomeraz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II enzimi ile etkileşme yoluyla DNA zincirinde tekli ve çiftli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kınkların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indüklenmesine dayanır. Hücre ölümü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konsantrasyonuna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uygulama zamanına bağımlıdır.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etkisi hücre dönemine özgüdür ve en fazla hücreyi S ve erken G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dönemlerinde durdurur. Dinlenme halindeki hücrelerde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sitotoksik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etkisi sadece yüksek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konsantrasyonlarda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görülmüştür.</w:t>
      </w:r>
    </w:p>
    <w:p w:rsidR="004727C5" w:rsidRPr="00693C98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5.2.</w:t>
      </w:r>
      <w:r w:rsid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spellStart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Farmakokinetik</w:t>
      </w:r>
      <w:proofErr w:type="spellEnd"/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özellikler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Genel özellikler: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farmakokinetik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özellikleri belirgin bireysel değişkenlik gösterir.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Emilim: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Farmasötik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formu ve uygulama yeri açısından ilaç direkt kana karışır.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Dağılım: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>Hızlı dağılım gösterir. Ortalama dağılım hacmi yaklaşık olarak vücut ağırlığının %32'si kadardır. Kararlı durumda ortalama dağılım hacmi 18-29 L ya da 7-17 L/m</w:t>
      </w:r>
      <w:r w:rsidR="00482EF5"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aralığına düşer.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BOS'na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zayıf bir şekilde geçer. BOS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intraserebral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tümörlerde saptanabilmesine rağmen, buralardaki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konsantrasyonları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ekstraserebral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tümörlerdekinden ve plazmadakinden daha düşüktür.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konsantrasyonları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normal akciğerde, akciğer metastazla</w:t>
      </w:r>
      <w:r w:rsidR="00482EF5">
        <w:rPr>
          <w:rFonts w:ascii="Times New Roman" w:eastAsia="TimesNewRoman" w:hAnsi="Times New Roman" w:cs="Times New Roman"/>
          <w:sz w:val="24"/>
          <w:szCs w:val="24"/>
        </w:rPr>
        <w:t>rı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ndakinden daha yüksektir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primer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tümörlerdekine ve normal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miyometrium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dokusundakine benzerdir.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İnsan serumunda plazma proteinlerine yüksek oranda bağlanır (%94). İn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vitro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C14 işaretli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insan serum proteinlerine bağlanması üzerine diğer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terapötik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ilaçların etkisini belirleme çalışmasında, in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vivo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ulaşılan konsantrasyonlarda sadece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fenilbutazon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sodyum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salisilat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şahsilik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aspirin proteine bağlı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yer değiştirmiştir.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bağlanma oranı, normal gönüllülerde ve kanser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hastalannda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serum albümin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konsantrasyonu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doğrudan ilişkilidir. Diğer bir deyişle, veriler, serum albümin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konsantrasyonu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serbest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fraksiyonu arasında belirgin bir ters ilişki olduğunu göstermektedir.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proofErr w:type="spellStart"/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:</w:t>
      </w:r>
    </w:p>
    <w:p w:rsid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Erişkin veya çocuklarda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başlıca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üriner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metaboliti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lakton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halkasının açılmasıyla oluşan 4-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hidroksi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asit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metabolitidir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[4'-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demetilepipodofilik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asit-9-(4,6-0-(R)-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etiliden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-b-D-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glukopiranosid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)]. Ayrıca insan plazmasında trans izomeri olarak da bulunur.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İnsanda, alınan dozun %5-22'si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glukronid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ve/veya sülfat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konjugatlan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olarak idrarla atılmaktadır. Buna ek olarak uygun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katekol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oluşturmak için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dimetoksifenol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halkasının O-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demetilasyonu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CYP450 3A4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izoenzim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yolağı ile meydana gelir.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infüzyondan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sonra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Cmaks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EAA değerleri aynı bireyde ve bireyler arasında belirgin değişiklikler gösterir.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Eliminasyon: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plazmadan temizlenmesi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bi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eksponansiyel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kinetik gösterir ve iki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kompartmanlı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modele uyar. IV uygulama ile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dağılımı en iyi 1.5 saatlik dağılım yanlanma ömrü ve 4 ila 11 saat arasında bir terminal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eliminasyon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yarılanma ömrü ile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bifazik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bir işlemdir. Toplam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değerleri 33-48 ml/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dak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ya da 16 ila 36 ml/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dak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/m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arasındadır. Terminal yarılanma ömrü ve total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100-600 mg/m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="00482EF5">
        <w:rPr>
          <w:rFonts w:ascii="Times New Roman" w:eastAsia="TimesNewRoman" w:hAnsi="Times New Roman" w:cs="Times New Roman"/>
          <w:sz w:val="24"/>
          <w:szCs w:val="24"/>
        </w:rPr>
        <w:t>’l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ik doz aralığının üzerinde doza bağımlı değildir. Aynı doz aralığında plazma konsantrasyonun zamana göre Eğri Altındaki Alanı (EAA) ve maksimum plazma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değerleri dozla lineer olarak artar.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4-5 gün süreyle günlük 100 mg/m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uygulamadan sonra plazmada birikme yapmaz.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3H-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uygulamasından sonra (70-290 mg/m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) idrarla atılan radyoaktivite, alman dozun %42-67'si ve dışkı ile atılan radyoaktivite %0-16'sı arasındadır.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dozun yaklaşık % 45'i ve bunun 2/3'ü değişmeden 72 saatte idrarla atılmaktadır.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ortalama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renal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7 ila 10 ml/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dak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/m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veya 80 ila 600 mg/m</w:t>
      </w:r>
      <w:r w:rsidRPr="00482EF5"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'lik bir doz aralığında toplam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klerensinin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yaklaşık %35'idir. Dolayısıyla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hem böbreklerle, hem de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metabolize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olma ve safra ile atılma gibi böbrek dışı yollarla vücuttan temizlenmektedir. Safra ile atılımın,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eliminasyonunda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çok düşük bir yol olduğu görülmektedir.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İntravenöz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dozun sadece %6'sı veya daha azı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olarak safrada bulunmaktadır.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böbrek dışı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klerensinin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büyük kısmından metabolizma sorumludur.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Erişkinlerde toplam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kreatin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serum albümin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konsantrasyonu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böbrek dışı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ilişkilidir. Böbrek fonksiyonu azalmış hastalarda azalmış total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artmış EAA ve kararlı durumda daha düşük bir dağılım hacmi bulunur.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Sisplatin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tedavisi, azalmış total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bağlantılıdır.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Hastalardaki karakteristik özellikler:</w:t>
      </w:r>
    </w:p>
    <w:p w:rsidR="00693C98" w:rsidRP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Yaş</w:t>
      </w:r>
      <w:r w:rsidR="00693C98"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Değişik yaş gruplan arasında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farmakokinetik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parametrelerde çok az farklılıklar gözlenmesine</w:t>
      </w:r>
      <w:r w:rsidR="004727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rağmen bunların klinik olarak anlamlı olduğu düşünülmemektedir.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lastRenderedPageBreak/>
        <w:t>Cinsiyet: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Cinsiyetler arasında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farmakokinetik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parametrelerde çok az farklılıklar gözlenmesine rağmen</w:t>
      </w:r>
      <w:r w:rsidR="004727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bunların klinik olarak anlamlı olduğu düşünülmemektedir.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proofErr w:type="spellStart"/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Pediyatrik</w:t>
      </w:r>
      <w:proofErr w:type="spellEnd"/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hastalar: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Çocuklarda plazma albümin düzeyleri ile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renal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arasında ters ilişki vardır.</w:t>
      </w:r>
      <w:r w:rsidR="004727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Yükselmiş serum SGPT düzeyleri azalmış total ilaç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ile ilişkilidir. Önceden</w:t>
      </w:r>
      <w:r w:rsidR="004727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sisplatin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kullanımı çocuklarda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total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klerensinde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bir azalma ile sonuçlanır.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Çocuklarda yaklaşık olarak alınan dozun %50'si 24 saat içinde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olarak idrarla</w:t>
      </w:r>
      <w:r w:rsidR="004727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atılmaktadır.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4727C5">
        <w:rPr>
          <w:rFonts w:ascii="Times New Roman" w:eastAsia="TimesNewRoman" w:hAnsi="Times New Roman" w:cs="Times New Roman"/>
          <w:sz w:val="24"/>
          <w:szCs w:val="24"/>
          <w:u w:val="single"/>
        </w:rPr>
        <w:t>Böbrek yetmezliği: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Böbrek fonksiyonu azalmış hastalarda azalmış total vücut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klerensi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, artmış EAA ve kararlı</w:t>
      </w:r>
      <w:r w:rsidR="004727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>durumda daha düşük bir dağılım hacmi bulunur.</w:t>
      </w:r>
    </w:p>
    <w:p w:rsidR="004727C5" w:rsidRPr="00693C98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5.3. Klinik öncesi güvenlilik verileri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Mutajenisite</w:t>
      </w:r>
      <w:proofErr w:type="spellEnd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memeli hücrelerinde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mutajenik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genotoksiktir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mutajenik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olduğunu</w:t>
      </w:r>
      <w:r w:rsidR="00482EF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gösteren, gen ve kromozom düzeyinde mutasyonlara yol açtığına dair pozitif </w:t>
      </w:r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 xml:space="preserve">in </w:t>
      </w: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vitro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in</w:t>
      </w:r>
      <w:r w:rsidR="004727C5" w:rsidRPr="004727C5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vivo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testler mevcuttur.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embriyonik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murin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hücrelerinde ve insan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hematopoietik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hücrelerinde kromozom sayısında ve yapısında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anomalilere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Çin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hamsterlerinin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över hücrelerinde, fare lösemi hücrelerinde zincirde kırılmalarla, DNA hasarlarına ve DNA-protein çapraz bağlarına, ayrıca Çin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hamsteri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över hücrelerinde doza bağlı olarak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kromatid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çiftleri değişiminde artışa neden olmuştur.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 xml:space="preserve">Üreme </w:t>
      </w: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toksisitesi</w:t>
      </w:r>
      <w:proofErr w:type="spellEnd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 xml:space="preserve"> (</w:t>
      </w: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teratojenisite</w:t>
      </w:r>
      <w:proofErr w:type="spellEnd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):</w:t>
      </w:r>
    </w:p>
    <w:p w:rsidR="00693C98" w:rsidRP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sıçanlarda, klinikte kullanılana karşı gelen dozlarda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teratojen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etkilidir. Vücut yüzeyine göre önerilen klinik dozun % 1 ila 3'ünde farelerde ve sıçanlarda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teratojenik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embriyotoksik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olduğu gösterilmiştir. SPF sıçanlarına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gestasyonun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6-15. günlerinde, 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0.4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1.2 ve 3.6 mg/kg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intravenöz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uygulanmasıyla, doza bağlı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maternal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toksisite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embriyotoksisite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prenetal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mortalite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fetal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resorpsiyonlar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düşük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fetus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ağırlığı)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teratojenisite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(majör iskelet anormallikleri,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eksensefali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ensefalosel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anoftalmi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>) bildirilmiştir; 0.13 mg/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kg'lık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doz gecikmiş kemikleşmede bir artışa neden olmuştur.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Swiss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-Albino farelere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gestasyonun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6</w:t>
      </w:r>
      <w:proofErr w:type="gramStart"/>
      <w:r w:rsidRPr="00693C98">
        <w:rPr>
          <w:rFonts w:ascii="Times New Roman" w:eastAsia="TimesNewRoman" w:hAnsi="Times New Roman" w:cs="Times New Roman"/>
          <w:sz w:val="24"/>
          <w:szCs w:val="24"/>
        </w:rPr>
        <w:t>.,</w:t>
      </w:r>
      <w:proofErr w:type="gram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7. veya 8. gününde 1, 1.5 veya 2 mg/kg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intraperitoneal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uygulama ile de doza bağlı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embriyotoksisite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intrauterin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fetus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ölümü, düşük fetüs ağırlığı )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teratojenisite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kranial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anomaliler, majör iskelet anomalileri ) bildirilmiştir.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proofErr w:type="spellStart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Karsinojenisite</w:t>
      </w:r>
      <w:proofErr w:type="spellEnd"/>
      <w:r w:rsidRPr="004727C5">
        <w:rPr>
          <w:rFonts w:ascii="Times New Roman" w:eastAsia="TimesNewRoman" w:hAnsi="Times New Roman" w:cs="Times New Roman"/>
          <w:i/>
          <w:sz w:val="24"/>
          <w:szCs w:val="24"/>
        </w:rPr>
        <w:t>:</w:t>
      </w:r>
    </w:p>
    <w:p w:rsidR="00693C98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lastRenderedPageBreak/>
        <w:t>Etoposidin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karsinojenisitesini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gösteren hayvan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çalışmalan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henüz yapılmamıştır. Ancak, DNA hasarı yapıcı etkisi ve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mutajenisite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potansiyeline dayanarak,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etoposid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insanlarda potansiyel olarak </w:t>
      </w:r>
      <w:proofErr w:type="spellStart"/>
      <w:r w:rsidRPr="00693C98">
        <w:rPr>
          <w:rFonts w:ascii="Times New Roman" w:eastAsia="TimesNewRoman" w:hAnsi="Times New Roman" w:cs="Times New Roman"/>
          <w:sz w:val="24"/>
          <w:szCs w:val="24"/>
        </w:rPr>
        <w:t>karsinojenik</w:t>
      </w:r>
      <w:proofErr w:type="spellEnd"/>
      <w:r w:rsidRPr="00693C98">
        <w:rPr>
          <w:rFonts w:ascii="Times New Roman" w:eastAsia="TimesNewRoman" w:hAnsi="Times New Roman" w:cs="Times New Roman"/>
          <w:sz w:val="24"/>
          <w:szCs w:val="24"/>
        </w:rPr>
        <w:t xml:space="preserve"> kabul edilmelidir.</w:t>
      </w:r>
    </w:p>
    <w:p w:rsidR="004727C5" w:rsidRPr="00693C98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6. FARMASÖTİK ÖZELLİKLER</w:t>
      </w: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6.1.</w:t>
      </w:r>
      <w:r w:rsidR="004727C5"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Yardımcı maddelerin listesi</w:t>
      </w:r>
    </w:p>
    <w:p w:rsidR="004727C5" w:rsidRPr="00C42B23" w:rsidRDefault="004727C5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B23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Pr="00C42B23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4727C5" w:rsidRPr="00C42B23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PEG 300</w:t>
      </w:r>
    </w:p>
    <w:p w:rsidR="004727C5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Sitrik Asit </w:t>
      </w:r>
      <w:proofErr w:type="spellStart"/>
      <w:r w:rsidRPr="00C42B23">
        <w:rPr>
          <w:rFonts w:ascii="Times New Roman" w:hAnsi="Times New Roman" w:cs="Times New Roman"/>
          <w:sz w:val="24"/>
          <w:szCs w:val="24"/>
        </w:rPr>
        <w:t>Anhidr</w:t>
      </w:r>
      <w:proofErr w:type="spellEnd"/>
    </w:p>
    <w:p w:rsidR="004727C5" w:rsidRPr="004727C5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C5">
        <w:rPr>
          <w:rFonts w:ascii="Times New Roman" w:hAnsi="Times New Roman" w:cs="Times New Roman"/>
          <w:sz w:val="24"/>
          <w:szCs w:val="24"/>
        </w:rPr>
        <w:t>Absolü</w:t>
      </w:r>
      <w:proofErr w:type="spellEnd"/>
      <w:r w:rsidRPr="004727C5">
        <w:rPr>
          <w:rFonts w:ascii="Times New Roman" w:hAnsi="Times New Roman" w:cs="Times New Roman"/>
          <w:sz w:val="24"/>
          <w:szCs w:val="24"/>
        </w:rPr>
        <w:t xml:space="preserve"> etanol</w:t>
      </w:r>
    </w:p>
    <w:p w:rsidR="004727C5" w:rsidRPr="004727C5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C5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Pr="004727C5">
        <w:rPr>
          <w:rFonts w:ascii="Times New Roman" w:hAnsi="Times New Roman" w:cs="Times New Roman"/>
          <w:sz w:val="24"/>
          <w:szCs w:val="24"/>
        </w:rPr>
        <w:t xml:space="preserve"> alkol</w:t>
      </w:r>
    </w:p>
    <w:p w:rsidR="004727C5" w:rsidRP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6.2.</w:t>
      </w:r>
      <w:r w:rsidR="004727C5"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Geçimsizlikler</w:t>
      </w:r>
    </w:p>
    <w:p w:rsidR="004727C5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ETOPEX,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pH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’ sı 8’ den büyük tamponlu solüsyonlar içinde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dilüe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edilmemelidir, çünkü çökelti oluşumu ihtimali artar. </w:t>
      </w:r>
    </w:p>
    <w:p w:rsidR="004727C5" w:rsidRPr="00C42B23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Yalnızca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infüzyon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için uygun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izotonik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sodyum klorür veya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izotonik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glukoz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solüsyonları ile sulandırılmalıdır. Çökelti oluşma ihtimaline karşı, hazırlanan solüsyondaki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eto</w:t>
      </w:r>
      <w:r w:rsidR="00482EF5">
        <w:rPr>
          <w:rFonts w:ascii="Times New Roman" w:eastAsia="TimesNewRoman,Bold" w:hAnsi="Times New Roman" w:cs="Times New Roman"/>
          <w:bCs/>
          <w:sz w:val="24"/>
          <w:szCs w:val="24"/>
        </w:rPr>
        <w:t>posid</w:t>
      </w:r>
      <w:proofErr w:type="spellEnd"/>
      <w:r w:rsidR="00482EF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konsantrasyonu </w:t>
      </w:r>
      <w:proofErr w:type="gramStart"/>
      <w:r w:rsidR="00482EF5">
        <w:rPr>
          <w:rFonts w:ascii="Times New Roman" w:eastAsia="TimesNewRoman,Bold" w:hAnsi="Times New Roman" w:cs="Times New Roman"/>
          <w:bCs/>
          <w:sz w:val="24"/>
          <w:szCs w:val="24"/>
        </w:rPr>
        <w:t>0.4</w:t>
      </w:r>
      <w:proofErr w:type="gramEnd"/>
      <w:r w:rsidR="00482EF5">
        <w:rPr>
          <w:rFonts w:ascii="Times New Roman" w:eastAsia="TimesNewRoman,Bold" w:hAnsi="Times New Roman" w:cs="Times New Roman"/>
          <w:bCs/>
          <w:sz w:val="24"/>
          <w:szCs w:val="24"/>
        </w:rPr>
        <w:t xml:space="preserve"> mg/</w:t>
      </w:r>
      <w:proofErr w:type="spellStart"/>
      <w:r w:rsidR="00482EF5">
        <w:rPr>
          <w:rFonts w:ascii="Times New Roman" w:eastAsia="TimesNewRoman,Bold" w:hAnsi="Times New Roman" w:cs="Times New Roman"/>
          <w:bCs/>
          <w:sz w:val="24"/>
          <w:szCs w:val="24"/>
        </w:rPr>
        <w:t>ml’</w:t>
      </w: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yi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geçmemelidir.</w:t>
      </w:r>
    </w:p>
    <w:p w:rsidR="004727C5" w:rsidRP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6.3.</w:t>
      </w:r>
      <w:r w:rsidR="004727C5"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Raf ömrü</w:t>
      </w:r>
    </w:p>
    <w:p w:rsidR="004727C5" w:rsidRPr="00C42B23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42B23">
        <w:rPr>
          <w:rFonts w:ascii="Times New Roman" w:eastAsia="TimesNewRoman" w:hAnsi="Times New Roman" w:cs="Times New Roman"/>
          <w:sz w:val="24"/>
          <w:szCs w:val="24"/>
        </w:rPr>
        <w:t>24 ay</w:t>
      </w:r>
    </w:p>
    <w:p w:rsidR="004727C5" w:rsidRP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6.4.</w:t>
      </w:r>
      <w:r w:rsidR="004727C5"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Saklamaya yönelik özel uya</w:t>
      </w:r>
      <w:r w:rsidR="00993420">
        <w:rPr>
          <w:rFonts w:ascii="Times New Roman" w:eastAsia="TimesNewRoman" w:hAnsi="Times New Roman" w:cs="Times New Roman"/>
          <w:b/>
          <w:sz w:val="24"/>
          <w:szCs w:val="24"/>
        </w:rPr>
        <w:t>rı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lar</w:t>
      </w:r>
    </w:p>
    <w:p w:rsidR="004727C5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Flakonu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25 °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C’nin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altındaki oda sıcaklığında </w:t>
      </w:r>
      <w:r w:rsidR="001A4763">
        <w:rPr>
          <w:rFonts w:ascii="Times New Roman" w:eastAsia="TimesNewRoman,Bold" w:hAnsi="Times New Roman" w:cs="Times New Roman"/>
          <w:bCs/>
          <w:sz w:val="24"/>
          <w:szCs w:val="24"/>
        </w:rPr>
        <w:t xml:space="preserve">ışıktan koruyarak </w:t>
      </w: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saklayınız. %5 dekstroz ve %</w:t>
      </w:r>
      <w:proofErr w:type="gram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0.9</w:t>
      </w:r>
      <w:proofErr w:type="gram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NaCI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çözücülerinden biri ile seyreltilmiş çözeltinin, oda sıcaklığında </w:t>
      </w:r>
      <w:r w:rsidR="00292B9B">
        <w:rPr>
          <w:rFonts w:ascii="Times New Roman" w:eastAsia="TimesNewRoman,Bold" w:hAnsi="Times New Roman" w:cs="Times New Roman"/>
          <w:bCs/>
          <w:sz w:val="24"/>
          <w:szCs w:val="24"/>
        </w:rPr>
        <w:t xml:space="preserve">ışıktan korunarak </w:t>
      </w: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muhafaza edildiğinde 24 saat içinde IV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infüzyon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için kullanılmalıdır. </w:t>
      </w:r>
    </w:p>
    <w:p w:rsid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6.5.</w:t>
      </w:r>
      <w:r w:rsidR="004727C5"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Ambalajın niteliği ve içeriği</w:t>
      </w:r>
    </w:p>
    <w:p w:rsidR="004727C5" w:rsidRPr="00C42B23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Renksiz Tip 1 cam, gri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bromobütil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lastik tıpa, alüminyum başlıklı ve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flip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-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off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kapaklı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flakon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Her bir karton kutu 1 adet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flakon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içermektedir. </w:t>
      </w:r>
    </w:p>
    <w:p w:rsid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6.6.</w:t>
      </w:r>
      <w:r w:rsidR="004727C5"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4727C5" w:rsidRPr="00C42B23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‘Tıbbi atıkların kontrolü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yönetmeliği’ve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‘Ambalaj ve ambalaj atıklarının kontrolü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yönetmelikleri’ne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uygun olarak imha edilmelidir.</w:t>
      </w:r>
    </w:p>
    <w:p w:rsidR="004727C5" w:rsidRPr="00C42B23" w:rsidRDefault="004727C5" w:rsidP="004727C5">
      <w:pPr>
        <w:pStyle w:val="GvdeMetni3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Bütün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sitotoksik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ajanlarda olduğu gibi,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etoposid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çok dikkatle tutulmalıdır; eldiven, yüz maskesi ve koruyucu giysiler giyilmelidir. Eğer mümkünse,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etoposid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çeker ocak altında tutulmalıdır. Deri ve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muköz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membranlarla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temastan kaçınılmalıdır. Hamile hastane personeli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etoposidi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uygulamamalıdır. </w:t>
      </w:r>
    </w:p>
    <w:p w:rsidR="004727C5" w:rsidRPr="00C42B23" w:rsidRDefault="004727C5" w:rsidP="004727C5">
      <w:pPr>
        <w:pStyle w:val="GvdeMetni3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Eğer gözler </w:t>
      </w: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kontamine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olursa, gözler bol su ile yıkanmalıdır, gerekirse doktor yardımı istenmelidir. </w:t>
      </w:r>
    </w:p>
    <w:p w:rsidR="004727C5" w:rsidRPr="00C42B23" w:rsidRDefault="004727C5" w:rsidP="004727C5">
      <w:pPr>
        <w:pStyle w:val="GvdeMetni3"/>
        <w:spacing w:after="0" w:line="36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spellStart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>Sitotoksik</w:t>
      </w:r>
      <w:proofErr w:type="spellEnd"/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 ilaçların yeniden uygulanması sırasında kullanılan nesnelerin (iğne, şırınga v.b.) atılmasında gerekli özen gösterilmeli ve önlemler alınmalıdır. Artık matery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a</w:t>
      </w: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ller ve vücut atıkları çift kilitli polietilen torbalara konularak atılmalı ve 1000 </w:t>
      </w:r>
      <w:r w:rsidRPr="00C42B23">
        <w:rPr>
          <w:rFonts w:ascii="Times New Roman" w:eastAsia="TimesNewRoman,Bold" w:hAnsi="Times New Roman" w:cs="Times New Roman"/>
          <w:bCs/>
          <w:sz w:val="24"/>
          <w:szCs w:val="24"/>
          <w:vertAlign w:val="superscript"/>
        </w:rPr>
        <w:t>0</w:t>
      </w:r>
      <w:r w:rsidRPr="00C42B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C’de yakılmalıdır. Sıvı atıklar bol basınçlı su ile temizlenmelidir. </w:t>
      </w:r>
    </w:p>
    <w:p w:rsid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7. RUHSAT SAHİBİ</w:t>
      </w:r>
    </w:p>
    <w:p w:rsidR="004727C5" w:rsidRPr="00C42B23" w:rsidRDefault="004727C5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Deva Holding A.Ş.</w:t>
      </w:r>
    </w:p>
    <w:p w:rsidR="004727C5" w:rsidRPr="00C42B23" w:rsidRDefault="004727C5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>Halkalı Merkez Mah.</w:t>
      </w:r>
      <w:r w:rsidR="00B77E6D">
        <w:rPr>
          <w:rFonts w:ascii="Times New Roman" w:hAnsi="Times New Roman" w:cs="Times New Roman"/>
          <w:sz w:val="24"/>
          <w:szCs w:val="24"/>
        </w:rPr>
        <w:t xml:space="preserve"> </w:t>
      </w:r>
      <w:r w:rsidRPr="00C42B23">
        <w:rPr>
          <w:rFonts w:ascii="Times New Roman" w:hAnsi="Times New Roman" w:cs="Times New Roman"/>
          <w:sz w:val="24"/>
          <w:szCs w:val="24"/>
        </w:rPr>
        <w:t>Basın Ekspres Cad.</w:t>
      </w:r>
    </w:p>
    <w:p w:rsidR="004727C5" w:rsidRPr="00C42B23" w:rsidRDefault="004727C5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No: </w:t>
      </w:r>
      <w:r w:rsidR="00B77E6D" w:rsidRPr="00C42B23">
        <w:rPr>
          <w:rFonts w:ascii="Times New Roman" w:hAnsi="Times New Roman" w:cs="Times New Roman"/>
          <w:sz w:val="24"/>
          <w:szCs w:val="24"/>
        </w:rPr>
        <w:t>1 34303</w:t>
      </w:r>
    </w:p>
    <w:p w:rsidR="004727C5" w:rsidRPr="00C42B23" w:rsidRDefault="00200601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Küçükçekmece/</w:t>
      </w:r>
      <w:r w:rsidRPr="00C42B23">
        <w:rPr>
          <w:rFonts w:ascii="Times New Roman" w:hAnsi="Times New Roman" w:cs="Times New Roman"/>
          <w:sz w:val="24"/>
          <w:szCs w:val="24"/>
        </w:rPr>
        <w:t>İSTANBUL</w:t>
      </w:r>
    </w:p>
    <w:p w:rsidR="004727C5" w:rsidRPr="00C42B23" w:rsidRDefault="004727C5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hAnsi="Times New Roman" w:cs="Times New Roman"/>
          <w:sz w:val="24"/>
          <w:szCs w:val="24"/>
        </w:rPr>
        <w:t xml:space="preserve">Tel: 0 212 692 92 </w:t>
      </w:r>
      <w:proofErr w:type="spellStart"/>
      <w:r w:rsidRPr="00C42B23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4727C5" w:rsidRPr="00C42B23" w:rsidRDefault="004727C5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B23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42B23">
        <w:rPr>
          <w:rFonts w:ascii="Times New Roman" w:hAnsi="Times New Roman" w:cs="Times New Roman"/>
          <w:sz w:val="24"/>
          <w:szCs w:val="24"/>
        </w:rPr>
        <w:t>: 0 212 697 00 24</w:t>
      </w:r>
    </w:p>
    <w:p w:rsid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p w:rsidR="00693C98" w:rsidRPr="004727C5" w:rsidRDefault="004727C5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8. </w:t>
      </w:r>
      <w:r w:rsidR="00693C98" w:rsidRPr="004727C5">
        <w:rPr>
          <w:rFonts w:ascii="Times New Roman" w:eastAsia="TimesNewRoman" w:hAnsi="Times New Roman" w:cs="Times New Roman"/>
          <w:b/>
          <w:sz w:val="24"/>
          <w:szCs w:val="24"/>
        </w:rPr>
        <w:t>RUHSAT NUMARASI</w:t>
      </w:r>
    </w:p>
    <w:p w:rsidR="004727C5" w:rsidRPr="00C933A7" w:rsidRDefault="00C933A7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933A7">
        <w:rPr>
          <w:rFonts w:ascii="Times New Roman" w:eastAsia="TimesNewRoman" w:hAnsi="Times New Roman" w:cs="Times New Roman"/>
          <w:sz w:val="24"/>
          <w:szCs w:val="24"/>
        </w:rPr>
        <w:t>237/22</w:t>
      </w:r>
    </w:p>
    <w:p w:rsidR="00D464BD" w:rsidRDefault="00D464BD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9.</w:t>
      </w:r>
      <w:r w:rsid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İLK RUHSAT TARİHİ/RUHSAT YENİLEME TARİHİ</w:t>
      </w:r>
    </w:p>
    <w:p w:rsidR="004727C5" w:rsidRPr="00C42B23" w:rsidRDefault="004727C5" w:rsidP="00472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23">
        <w:rPr>
          <w:rFonts w:ascii="Times New Roman" w:eastAsia="TimesNewRoman" w:hAnsi="Times New Roman" w:cs="Times New Roman"/>
          <w:sz w:val="24"/>
          <w:szCs w:val="24"/>
        </w:rPr>
        <w:t>İlk ruhsat tarihi:</w:t>
      </w:r>
      <w:r w:rsidR="00C933A7">
        <w:rPr>
          <w:rFonts w:ascii="Times New Roman" w:eastAsia="TimesNewRoman" w:hAnsi="Times New Roman" w:cs="Times New Roman"/>
          <w:sz w:val="24"/>
          <w:szCs w:val="24"/>
        </w:rPr>
        <w:t xml:space="preserve"> 18.11.2011</w:t>
      </w:r>
    </w:p>
    <w:p w:rsidR="004727C5" w:rsidRDefault="004727C5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42B23">
        <w:rPr>
          <w:rFonts w:ascii="Times New Roman" w:eastAsia="TimesNewRoman" w:hAnsi="Times New Roman" w:cs="Times New Roman"/>
          <w:sz w:val="24"/>
          <w:szCs w:val="24"/>
        </w:rPr>
        <w:t>Ruhsat yenileme tarihi:</w:t>
      </w:r>
    </w:p>
    <w:p w:rsidR="00B77E6D" w:rsidRPr="00C42B23" w:rsidRDefault="00B77E6D" w:rsidP="00472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3C98" w:rsidRPr="004727C5" w:rsidRDefault="00693C98" w:rsidP="0069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10.</w:t>
      </w:r>
      <w:r w:rsidR="004727C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4727C5">
        <w:rPr>
          <w:rFonts w:ascii="Times New Roman" w:eastAsia="TimesNewRoman" w:hAnsi="Times New Roman" w:cs="Times New Roman"/>
          <w:b/>
          <w:sz w:val="24"/>
          <w:szCs w:val="24"/>
        </w:rPr>
        <w:t>KÜB'ÜN YENİLENME TARİHİ</w:t>
      </w:r>
    </w:p>
    <w:sectPr w:rsidR="00693C98" w:rsidRPr="004727C5" w:rsidSect="000B0C4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20" w:rsidRDefault="00993420" w:rsidP="00647E97">
      <w:pPr>
        <w:spacing w:after="0" w:line="240" w:lineRule="auto"/>
      </w:pPr>
      <w:r>
        <w:separator/>
      </w:r>
    </w:p>
  </w:endnote>
  <w:endnote w:type="continuationSeparator" w:id="0">
    <w:p w:rsidR="00993420" w:rsidRDefault="00993420" w:rsidP="0064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33610"/>
      <w:docPartObj>
        <w:docPartGallery w:val="Page Numbers (Bottom of Page)"/>
        <w:docPartUnique/>
      </w:docPartObj>
    </w:sdtPr>
    <w:sdtContent>
      <w:p w:rsidR="00993420" w:rsidRDefault="00BB203C">
        <w:pPr>
          <w:pStyle w:val="Altbilgi"/>
          <w:jc w:val="right"/>
        </w:pPr>
        <w:r w:rsidRPr="00CB36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3420" w:rsidRPr="00CB36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36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E6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B36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3420" w:rsidRDefault="009934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20" w:rsidRDefault="00993420" w:rsidP="00647E97">
      <w:pPr>
        <w:spacing w:after="0" w:line="240" w:lineRule="auto"/>
      </w:pPr>
      <w:r>
        <w:separator/>
      </w:r>
    </w:p>
  </w:footnote>
  <w:footnote w:type="continuationSeparator" w:id="0">
    <w:p w:rsidR="00993420" w:rsidRDefault="00993420" w:rsidP="0064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637"/>
    <w:multiLevelType w:val="hybridMultilevel"/>
    <w:tmpl w:val="52CCC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2FF8"/>
    <w:multiLevelType w:val="hybridMultilevel"/>
    <w:tmpl w:val="7D905BC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55AB"/>
    <w:multiLevelType w:val="hybridMultilevel"/>
    <w:tmpl w:val="FECA3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6C0F"/>
    <w:multiLevelType w:val="hybridMultilevel"/>
    <w:tmpl w:val="B1049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50F25"/>
    <w:multiLevelType w:val="hybridMultilevel"/>
    <w:tmpl w:val="A9E67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A6165"/>
    <w:multiLevelType w:val="multilevel"/>
    <w:tmpl w:val="59DC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E5CD8"/>
    <w:multiLevelType w:val="hybridMultilevel"/>
    <w:tmpl w:val="12885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8A3"/>
    <w:multiLevelType w:val="hybridMultilevel"/>
    <w:tmpl w:val="EF66A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4F59"/>
    <w:multiLevelType w:val="hybridMultilevel"/>
    <w:tmpl w:val="442C9D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565E"/>
    <w:multiLevelType w:val="hybridMultilevel"/>
    <w:tmpl w:val="4372B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97D6B"/>
    <w:multiLevelType w:val="hybridMultilevel"/>
    <w:tmpl w:val="4434EA26"/>
    <w:lvl w:ilvl="0" w:tplc="854C4C5A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color w:val="0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CD20ED8"/>
    <w:multiLevelType w:val="hybridMultilevel"/>
    <w:tmpl w:val="3CBE9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06AC4"/>
    <w:multiLevelType w:val="hybridMultilevel"/>
    <w:tmpl w:val="47FAA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E6E97"/>
    <w:multiLevelType w:val="hybridMultilevel"/>
    <w:tmpl w:val="AB848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D7598"/>
    <w:multiLevelType w:val="hybridMultilevel"/>
    <w:tmpl w:val="49583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F1"/>
    <w:rsid w:val="000032FA"/>
    <w:rsid w:val="00004CBE"/>
    <w:rsid w:val="000274B2"/>
    <w:rsid w:val="000407CA"/>
    <w:rsid w:val="000539E8"/>
    <w:rsid w:val="000617EB"/>
    <w:rsid w:val="00066820"/>
    <w:rsid w:val="000733E5"/>
    <w:rsid w:val="0009558D"/>
    <w:rsid w:val="000A1C58"/>
    <w:rsid w:val="000B0C4E"/>
    <w:rsid w:val="000B29F8"/>
    <w:rsid w:val="000B6B28"/>
    <w:rsid w:val="000C2E91"/>
    <w:rsid w:val="000C4787"/>
    <w:rsid w:val="000C6E8B"/>
    <w:rsid w:val="000D4EB0"/>
    <w:rsid w:val="000D62BE"/>
    <w:rsid w:val="000D63AA"/>
    <w:rsid w:val="0010538D"/>
    <w:rsid w:val="0011093E"/>
    <w:rsid w:val="00130CAA"/>
    <w:rsid w:val="001434A4"/>
    <w:rsid w:val="001441DB"/>
    <w:rsid w:val="001542B9"/>
    <w:rsid w:val="00157BDE"/>
    <w:rsid w:val="001736FA"/>
    <w:rsid w:val="001976A4"/>
    <w:rsid w:val="001A4763"/>
    <w:rsid w:val="001B2C9C"/>
    <w:rsid w:val="001B4F27"/>
    <w:rsid w:val="001B7A5C"/>
    <w:rsid w:val="001C2ECF"/>
    <w:rsid w:val="001C7C3F"/>
    <w:rsid w:val="001D6431"/>
    <w:rsid w:val="001E6C63"/>
    <w:rsid w:val="00200601"/>
    <w:rsid w:val="00202DE0"/>
    <w:rsid w:val="002234B6"/>
    <w:rsid w:val="00223ABF"/>
    <w:rsid w:val="00234BC3"/>
    <w:rsid w:val="0024210A"/>
    <w:rsid w:val="002440CD"/>
    <w:rsid w:val="00260EE1"/>
    <w:rsid w:val="002634ED"/>
    <w:rsid w:val="00266AC9"/>
    <w:rsid w:val="00283189"/>
    <w:rsid w:val="00287BD7"/>
    <w:rsid w:val="0029076C"/>
    <w:rsid w:val="0029267E"/>
    <w:rsid w:val="00292B9B"/>
    <w:rsid w:val="002A141E"/>
    <w:rsid w:val="002C122E"/>
    <w:rsid w:val="002C2AC1"/>
    <w:rsid w:val="002C524A"/>
    <w:rsid w:val="002D0050"/>
    <w:rsid w:val="002D1ECE"/>
    <w:rsid w:val="002D34B3"/>
    <w:rsid w:val="002E0394"/>
    <w:rsid w:val="002F3B32"/>
    <w:rsid w:val="002F5A55"/>
    <w:rsid w:val="002F5DCA"/>
    <w:rsid w:val="0031629B"/>
    <w:rsid w:val="003165A6"/>
    <w:rsid w:val="0032367F"/>
    <w:rsid w:val="00324D03"/>
    <w:rsid w:val="00326FF5"/>
    <w:rsid w:val="00327807"/>
    <w:rsid w:val="00332B01"/>
    <w:rsid w:val="00335EE1"/>
    <w:rsid w:val="003368E7"/>
    <w:rsid w:val="00341787"/>
    <w:rsid w:val="003431E5"/>
    <w:rsid w:val="00360FA4"/>
    <w:rsid w:val="00361ACA"/>
    <w:rsid w:val="003673C4"/>
    <w:rsid w:val="003938BE"/>
    <w:rsid w:val="003A1077"/>
    <w:rsid w:val="003A18E0"/>
    <w:rsid w:val="003B484E"/>
    <w:rsid w:val="003B56E6"/>
    <w:rsid w:val="003B689F"/>
    <w:rsid w:val="003C2DB1"/>
    <w:rsid w:val="003D6B07"/>
    <w:rsid w:val="003D7DC6"/>
    <w:rsid w:val="003F6C08"/>
    <w:rsid w:val="00405BAA"/>
    <w:rsid w:val="004158F1"/>
    <w:rsid w:val="00416949"/>
    <w:rsid w:val="00423BE7"/>
    <w:rsid w:val="00425608"/>
    <w:rsid w:val="00426E3E"/>
    <w:rsid w:val="00430BC2"/>
    <w:rsid w:val="004634B1"/>
    <w:rsid w:val="0046549B"/>
    <w:rsid w:val="004727C5"/>
    <w:rsid w:val="004729AB"/>
    <w:rsid w:val="00482EF5"/>
    <w:rsid w:val="00496C3E"/>
    <w:rsid w:val="0049738F"/>
    <w:rsid w:val="004B2787"/>
    <w:rsid w:val="004B5634"/>
    <w:rsid w:val="004B6D16"/>
    <w:rsid w:val="004C2232"/>
    <w:rsid w:val="004C6D06"/>
    <w:rsid w:val="004E75F2"/>
    <w:rsid w:val="004F025F"/>
    <w:rsid w:val="004F11D1"/>
    <w:rsid w:val="005000D8"/>
    <w:rsid w:val="005263A4"/>
    <w:rsid w:val="00535F44"/>
    <w:rsid w:val="005367C5"/>
    <w:rsid w:val="0053708F"/>
    <w:rsid w:val="00540DA1"/>
    <w:rsid w:val="005535D7"/>
    <w:rsid w:val="00556123"/>
    <w:rsid w:val="00556ED3"/>
    <w:rsid w:val="005619C9"/>
    <w:rsid w:val="00566BB4"/>
    <w:rsid w:val="00571E58"/>
    <w:rsid w:val="005B09CC"/>
    <w:rsid w:val="005B3601"/>
    <w:rsid w:val="005B724F"/>
    <w:rsid w:val="005E4698"/>
    <w:rsid w:val="005E6867"/>
    <w:rsid w:val="005E6918"/>
    <w:rsid w:val="005F21BF"/>
    <w:rsid w:val="005F2E96"/>
    <w:rsid w:val="005F31D4"/>
    <w:rsid w:val="005F57AD"/>
    <w:rsid w:val="005F7491"/>
    <w:rsid w:val="0060169C"/>
    <w:rsid w:val="00623349"/>
    <w:rsid w:val="00626998"/>
    <w:rsid w:val="00630E15"/>
    <w:rsid w:val="00632950"/>
    <w:rsid w:val="006332BE"/>
    <w:rsid w:val="006332E3"/>
    <w:rsid w:val="00634CD1"/>
    <w:rsid w:val="006402F0"/>
    <w:rsid w:val="00644EF7"/>
    <w:rsid w:val="00647E97"/>
    <w:rsid w:val="00653D9D"/>
    <w:rsid w:val="0066107A"/>
    <w:rsid w:val="006904AD"/>
    <w:rsid w:val="00693C98"/>
    <w:rsid w:val="006B43A2"/>
    <w:rsid w:val="006D4092"/>
    <w:rsid w:val="006E1FC8"/>
    <w:rsid w:val="006F569C"/>
    <w:rsid w:val="007037D6"/>
    <w:rsid w:val="0071540E"/>
    <w:rsid w:val="00716D02"/>
    <w:rsid w:val="00717FAC"/>
    <w:rsid w:val="00726EB9"/>
    <w:rsid w:val="007270F4"/>
    <w:rsid w:val="00735F80"/>
    <w:rsid w:val="00735F99"/>
    <w:rsid w:val="007412B9"/>
    <w:rsid w:val="00761B29"/>
    <w:rsid w:val="00762B69"/>
    <w:rsid w:val="0077088E"/>
    <w:rsid w:val="00770DCB"/>
    <w:rsid w:val="007733EB"/>
    <w:rsid w:val="0077541A"/>
    <w:rsid w:val="00782A04"/>
    <w:rsid w:val="007A2F34"/>
    <w:rsid w:val="007B42E5"/>
    <w:rsid w:val="007B587C"/>
    <w:rsid w:val="007B5EB2"/>
    <w:rsid w:val="007B6B7F"/>
    <w:rsid w:val="007C54E4"/>
    <w:rsid w:val="007C7F98"/>
    <w:rsid w:val="007D310B"/>
    <w:rsid w:val="007D51C4"/>
    <w:rsid w:val="007E04C1"/>
    <w:rsid w:val="007E1CC0"/>
    <w:rsid w:val="007E5601"/>
    <w:rsid w:val="007F5E88"/>
    <w:rsid w:val="007F6571"/>
    <w:rsid w:val="0080406B"/>
    <w:rsid w:val="008048BD"/>
    <w:rsid w:val="00806747"/>
    <w:rsid w:val="00812E59"/>
    <w:rsid w:val="008232C3"/>
    <w:rsid w:val="0083176C"/>
    <w:rsid w:val="00835CE9"/>
    <w:rsid w:val="0084068F"/>
    <w:rsid w:val="008457C4"/>
    <w:rsid w:val="008465EB"/>
    <w:rsid w:val="00875299"/>
    <w:rsid w:val="00881B90"/>
    <w:rsid w:val="00883116"/>
    <w:rsid w:val="008955EE"/>
    <w:rsid w:val="008A1A56"/>
    <w:rsid w:val="008A797F"/>
    <w:rsid w:val="008B27EE"/>
    <w:rsid w:val="008B2845"/>
    <w:rsid w:val="008B48ED"/>
    <w:rsid w:val="008C37A9"/>
    <w:rsid w:val="008D1833"/>
    <w:rsid w:val="008D6E80"/>
    <w:rsid w:val="008E373F"/>
    <w:rsid w:val="008E4F23"/>
    <w:rsid w:val="008F5449"/>
    <w:rsid w:val="008F5EE6"/>
    <w:rsid w:val="008F66C1"/>
    <w:rsid w:val="009030F5"/>
    <w:rsid w:val="009129A2"/>
    <w:rsid w:val="00922E23"/>
    <w:rsid w:val="0092618D"/>
    <w:rsid w:val="00933A10"/>
    <w:rsid w:val="00934439"/>
    <w:rsid w:val="00947FDE"/>
    <w:rsid w:val="00950D63"/>
    <w:rsid w:val="009539AC"/>
    <w:rsid w:val="0096225A"/>
    <w:rsid w:val="009702EC"/>
    <w:rsid w:val="0097296F"/>
    <w:rsid w:val="00993420"/>
    <w:rsid w:val="00993978"/>
    <w:rsid w:val="00995885"/>
    <w:rsid w:val="009959E8"/>
    <w:rsid w:val="009A75B2"/>
    <w:rsid w:val="009A7A6D"/>
    <w:rsid w:val="009B486D"/>
    <w:rsid w:val="009B6D7F"/>
    <w:rsid w:val="009C1A35"/>
    <w:rsid w:val="009C2671"/>
    <w:rsid w:val="009E5F6D"/>
    <w:rsid w:val="00A046D5"/>
    <w:rsid w:val="00A262FD"/>
    <w:rsid w:val="00A30B11"/>
    <w:rsid w:val="00A32CFC"/>
    <w:rsid w:val="00A3301C"/>
    <w:rsid w:val="00A330C1"/>
    <w:rsid w:val="00A41FC3"/>
    <w:rsid w:val="00A43FF2"/>
    <w:rsid w:val="00A45EEC"/>
    <w:rsid w:val="00A60657"/>
    <w:rsid w:val="00A60DD0"/>
    <w:rsid w:val="00A7250C"/>
    <w:rsid w:val="00A74A26"/>
    <w:rsid w:val="00A74D6B"/>
    <w:rsid w:val="00A90DF9"/>
    <w:rsid w:val="00A92B6A"/>
    <w:rsid w:val="00A956F9"/>
    <w:rsid w:val="00AA4839"/>
    <w:rsid w:val="00AA5D7B"/>
    <w:rsid w:val="00AC3960"/>
    <w:rsid w:val="00AF7298"/>
    <w:rsid w:val="00AF74AD"/>
    <w:rsid w:val="00B22EBC"/>
    <w:rsid w:val="00B33D20"/>
    <w:rsid w:val="00B34E59"/>
    <w:rsid w:val="00B41D55"/>
    <w:rsid w:val="00B42822"/>
    <w:rsid w:val="00B43934"/>
    <w:rsid w:val="00B544EF"/>
    <w:rsid w:val="00B54CE2"/>
    <w:rsid w:val="00B60B3F"/>
    <w:rsid w:val="00B73ACE"/>
    <w:rsid w:val="00B76151"/>
    <w:rsid w:val="00B77E6D"/>
    <w:rsid w:val="00B85723"/>
    <w:rsid w:val="00B85D60"/>
    <w:rsid w:val="00B974F9"/>
    <w:rsid w:val="00BA6693"/>
    <w:rsid w:val="00BB0E12"/>
    <w:rsid w:val="00BB203C"/>
    <w:rsid w:val="00BB33DA"/>
    <w:rsid w:val="00BC0590"/>
    <w:rsid w:val="00BC0D74"/>
    <w:rsid w:val="00BD13B3"/>
    <w:rsid w:val="00BD20D0"/>
    <w:rsid w:val="00BE361A"/>
    <w:rsid w:val="00BE37C1"/>
    <w:rsid w:val="00BE442B"/>
    <w:rsid w:val="00BF1447"/>
    <w:rsid w:val="00C12302"/>
    <w:rsid w:val="00C25C6B"/>
    <w:rsid w:val="00C3397F"/>
    <w:rsid w:val="00C42B23"/>
    <w:rsid w:val="00C45838"/>
    <w:rsid w:val="00C6388A"/>
    <w:rsid w:val="00C72903"/>
    <w:rsid w:val="00C754AB"/>
    <w:rsid w:val="00C933A7"/>
    <w:rsid w:val="00CA5B72"/>
    <w:rsid w:val="00CA6C5C"/>
    <w:rsid w:val="00CC4AB6"/>
    <w:rsid w:val="00CE4351"/>
    <w:rsid w:val="00CF026D"/>
    <w:rsid w:val="00CF0773"/>
    <w:rsid w:val="00CF58AC"/>
    <w:rsid w:val="00D01393"/>
    <w:rsid w:val="00D235F5"/>
    <w:rsid w:val="00D269E0"/>
    <w:rsid w:val="00D345BE"/>
    <w:rsid w:val="00D35BAC"/>
    <w:rsid w:val="00D379E0"/>
    <w:rsid w:val="00D464BD"/>
    <w:rsid w:val="00D64C17"/>
    <w:rsid w:val="00D87B5E"/>
    <w:rsid w:val="00DB5A07"/>
    <w:rsid w:val="00DC5902"/>
    <w:rsid w:val="00DD1D7B"/>
    <w:rsid w:val="00DE6579"/>
    <w:rsid w:val="00DF10FF"/>
    <w:rsid w:val="00E053AD"/>
    <w:rsid w:val="00E32289"/>
    <w:rsid w:val="00E33434"/>
    <w:rsid w:val="00E33FCE"/>
    <w:rsid w:val="00E40AA5"/>
    <w:rsid w:val="00E50D8A"/>
    <w:rsid w:val="00E51DD2"/>
    <w:rsid w:val="00E531FD"/>
    <w:rsid w:val="00E6073E"/>
    <w:rsid w:val="00E62A81"/>
    <w:rsid w:val="00E64540"/>
    <w:rsid w:val="00E658AA"/>
    <w:rsid w:val="00E72706"/>
    <w:rsid w:val="00E801DB"/>
    <w:rsid w:val="00E822E9"/>
    <w:rsid w:val="00E86331"/>
    <w:rsid w:val="00E92AAE"/>
    <w:rsid w:val="00E9346A"/>
    <w:rsid w:val="00EA132B"/>
    <w:rsid w:val="00EB41A1"/>
    <w:rsid w:val="00EB76B4"/>
    <w:rsid w:val="00EC0F0D"/>
    <w:rsid w:val="00EC3E9E"/>
    <w:rsid w:val="00EE5BDB"/>
    <w:rsid w:val="00EE7A1C"/>
    <w:rsid w:val="00EF7938"/>
    <w:rsid w:val="00F07652"/>
    <w:rsid w:val="00F254B4"/>
    <w:rsid w:val="00F31D81"/>
    <w:rsid w:val="00F4082E"/>
    <w:rsid w:val="00F427BF"/>
    <w:rsid w:val="00F4328D"/>
    <w:rsid w:val="00F54070"/>
    <w:rsid w:val="00F55E2A"/>
    <w:rsid w:val="00F61A21"/>
    <w:rsid w:val="00F6702E"/>
    <w:rsid w:val="00F74AE3"/>
    <w:rsid w:val="00F82D7D"/>
    <w:rsid w:val="00F85DEA"/>
    <w:rsid w:val="00F92AA4"/>
    <w:rsid w:val="00FA0D35"/>
    <w:rsid w:val="00FA4D38"/>
    <w:rsid w:val="00FA5D05"/>
    <w:rsid w:val="00FB22C2"/>
    <w:rsid w:val="00FB2E32"/>
    <w:rsid w:val="00FD4D57"/>
    <w:rsid w:val="00FF2FE9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1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5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415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4158F1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4158F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158F1"/>
    <w:rPr>
      <w:rFonts w:ascii="Arial" w:eastAsia="Times New Roman" w:hAnsi="Arial" w:cs="Times New Roman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4158F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158F1"/>
    <w:rPr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1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8F1"/>
  </w:style>
  <w:style w:type="table" w:styleId="TabloKlavuzu">
    <w:name w:val="Table Grid"/>
    <w:basedOn w:val="NormalTablo"/>
    <w:uiPriority w:val="99"/>
    <w:rsid w:val="000A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6579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F5EE6"/>
    <w:rPr>
      <w:color w:val="0000FF"/>
      <w:u w:val="single"/>
      <w:bdr w:val="none" w:sz="0" w:space="0" w:color="auto" w:frame="1"/>
    </w:rPr>
  </w:style>
  <w:style w:type="character" w:styleId="Vurgu">
    <w:name w:val="Emphasis"/>
    <w:basedOn w:val="VarsaylanParagrafYazTipi"/>
    <w:uiPriority w:val="20"/>
    <w:qFormat/>
    <w:rsid w:val="008048BD"/>
    <w:rPr>
      <w:b/>
      <w:bCs/>
      <w:i w:val="0"/>
      <w:iCs w:val="0"/>
    </w:rPr>
  </w:style>
  <w:style w:type="paragraph" w:customStyle="1" w:styleId="Default">
    <w:name w:val="Default"/>
    <w:rsid w:val="00804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61">
    <w:name w:val="style161"/>
    <w:basedOn w:val="VarsaylanParagrafYazTipi"/>
    <w:rsid w:val="005F2E96"/>
    <w:rPr>
      <w:rFonts w:ascii="Tahoma" w:hAnsi="Tahoma" w:cs="Tahoma" w:hint="default"/>
      <w:b w:val="0"/>
      <w:bCs w:val="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1C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D51C4"/>
    <w:rPr>
      <w:color w:val="808080"/>
    </w:rPr>
  </w:style>
  <w:style w:type="character" w:customStyle="1" w:styleId="CharacterStyle1">
    <w:name w:val="Character Style 1"/>
    <w:uiPriority w:val="99"/>
    <w:rsid w:val="00D01393"/>
    <w:rPr>
      <w:rFonts w:ascii="Tahoma" w:hAnsi="Tahoma" w:cs="Tahoma" w:hint="default"/>
      <w:sz w:val="18"/>
      <w:szCs w:val="18"/>
    </w:rPr>
  </w:style>
  <w:style w:type="paragraph" w:customStyle="1" w:styleId="Style2">
    <w:name w:val="Style 2"/>
    <w:uiPriority w:val="99"/>
    <w:rsid w:val="00BB0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3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185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906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941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61BC-0BBE-462E-BDF3-A3585AF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3696</Words>
  <Characters>21072</Characters>
  <Application>Microsoft Office Word</Application>
  <DocSecurity>0</DocSecurity>
  <Lines>175</Lines>
  <Paragraphs>49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omumcuoglu</cp:lastModifiedBy>
  <cp:revision>7</cp:revision>
  <cp:lastPrinted>2011-11-21T13:53:00Z</cp:lastPrinted>
  <dcterms:created xsi:type="dcterms:W3CDTF">2011-11-17T06:17:00Z</dcterms:created>
  <dcterms:modified xsi:type="dcterms:W3CDTF">2012-03-16T06:52:00Z</dcterms:modified>
</cp:coreProperties>
</file>